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11" w:rsidRPr="000F7211" w:rsidRDefault="000F7211" w:rsidP="000F7211">
      <w:pPr>
        <w:pStyle w:val="BodyText"/>
        <w:rPr>
          <w:sz w:val="52"/>
          <w:szCs w:val="52"/>
        </w:rPr>
      </w:pPr>
      <w:bookmarkStart w:id="0" w:name="_GoBack"/>
      <w:bookmarkEnd w:id="0"/>
      <w:r w:rsidRPr="000F7211">
        <w:rPr>
          <w:sz w:val="52"/>
          <w:szCs w:val="52"/>
        </w:rPr>
        <w:t xml:space="preserve">GREATER </w:t>
      </w:r>
      <w:smartTag w:uri="urn:schemas-microsoft-com:office:smarttags" w:element="place">
        <w:smartTag w:uri="urn:schemas-microsoft-com:office:smarttags" w:element="PlaceName">
          <w:r w:rsidRPr="000F7211">
            <w:rPr>
              <w:sz w:val="52"/>
              <w:szCs w:val="52"/>
            </w:rPr>
            <w:t>TZANEEN</w:t>
          </w:r>
        </w:smartTag>
        <w:r w:rsidRPr="000F7211">
          <w:rPr>
            <w:sz w:val="52"/>
            <w:szCs w:val="52"/>
          </w:rPr>
          <w:t xml:space="preserve"> </w:t>
        </w:r>
        <w:smartTag w:uri="urn:schemas-microsoft-com:office:smarttags" w:element="PlaceType">
          <w:r w:rsidRPr="000F7211">
            <w:rPr>
              <w:sz w:val="52"/>
              <w:szCs w:val="52"/>
            </w:rPr>
            <w:t>MUNICIPALITY</w:t>
          </w:r>
        </w:smartTag>
      </w:smartTag>
    </w:p>
    <w:p w:rsidR="000F7211" w:rsidRDefault="000F7211" w:rsidP="000F7211">
      <w:pPr>
        <w:pStyle w:val="BodyText"/>
        <w:rPr>
          <w:sz w:val="24"/>
        </w:rPr>
      </w:pPr>
    </w:p>
    <w:p w:rsidR="000F7211" w:rsidRDefault="00245E17" w:rsidP="000F7211">
      <w:pPr>
        <w:pStyle w:val="BodyText"/>
        <w:rPr>
          <w:sz w:val="24"/>
        </w:rPr>
      </w:pPr>
      <w:r>
        <w:rPr>
          <w:noProof/>
          <w:lang w:val="en-ZA" w:eastAsia="en-ZA"/>
        </w:rPr>
        <w:drawing>
          <wp:inline distT="0" distB="0" distL="0" distR="0">
            <wp:extent cx="4114800" cy="3886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4800" cy="3886200"/>
                    </a:xfrm>
                    <a:prstGeom prst="rect">
                      <a:avLst/>
                    </a:prstGeom>
                    <a:noFill/>
                    <a:ln w="9525">
                      <a:noFill/>
                      <a:miter lim="800000"/>
                      <a:headEnd/>
                      <a:tailEnd/>
                    </a:ln>
                  </pic:spPr>
                </pic:pic>
              </a:graphicData>
            </a:graphic>
          </wp:inline>
        </w:drawing>
      </w: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u w:val="single"/>
        </w:rPr>
      </w:pPr>
      <w:r w:rsidRPr="000F7211">
        <w:rPr>
          <w:rFonts w:ascii="Times New Roman" w:hAnsi="Times New Roman" w:cs="Times New Roman"/>
          <w:i/>
          <w:sz w:val="48"/>
          <w:szCs w:val="48"/>
        </w:rPr>
        <w:t>BUDGET POLICY</w:t>
      </w:r>
      <w:r>
        <w:rPr>
          <w:sz w:val="24"/>
          <w:u w:val="single"/>
        </w:rPr>
        <w:br w:type="page"/>
      </w:r>
      <w:r>
        <w:rPr>
          <w:sz w:val="24"/>
          <w:u w:val="single"/>
        </w:rPr>
        <w:lastRenderedPageBreak/>
        <w:t>INDEX</w:t>
      </w:r>
    </w:p>
    <w:p w:rsidR="000F7211" w:rsidRDefault="000F7211" w:rsidP="000F7211">
      <w:pPr>
        <w:pStyle w:val="BodyText"/>
        <w:jc w:val="right"/>
        <w:rPr>
          <w:sz w:val="24"/>
        </w:rPr>
      </w:pPr>
    </w:p>
    <w:p w:rsidR="00935F3F" w:rsidRDefault="00150099">
      <w:pPr>
        <w:pStyle w:val="TOC1"/>
        <w:tabs>
          <w:tab w:val="right" w:pos="12950"/>
        </w:tabs>
        <w:rPr>
          <w:rFonts w:ascii="Times New Roman" w:hAnsi="Times New Roman" w:cs="Times New Roman"/>
          <w:b w:val="0"/>
          <w:bCs w:val="0"/>
          <w:caps w:val="0"/>
          <w:noProof/>
        </w:rPr>
      </w:pPr>
      <w:r>
        <w:fldChar w:fldCharType="begin"/>
      </w:r>
      <w:r w:rsidR="00104E98">
        <w:instrText xml:space="preserve"> TOC \o "1-3" \h \z \u </w:instrText>
      </w:r>
      <w:r>
        <w:fldChar w:fldCharType="separate"/>
      </w:r>
      <w:hyperlink w:anchor="_Toc191130440" w:history="1">
        <w:r w:rsidR="00935F3F" w:rsidRPr="00443C20">
          <w:rPr>
            <w:rStyle w:val="Hyperlink"/>
            <w:noProof/>
          </w:rPr>
          <w:t>PART 1. OBJECTIVE</w:t>
        </w:r>
        <w:r w:rsidR="00935F3F">
          <w:rPr>
            <w:noProof/>
            <w:webHidden/>
          </w:rPr>
          <w:tab/>
        </w:r>
        <w:r>
          <w:rPr>
            <w:noProof/>
            <w:webHidden/>
          </w:rPr>
          <w:fldChar w:fldCharType="begin"/>
        </w:r>
        <w:r w:rsidR="00935F3F">
          <w:rPr>
            <w:noProof/>
            <w:webHidden/>
          </w:rPr>
          <w:instrText xml:space="preserve"> PAGEREF _Toc191130440 \h </w:instrText>
        </w:r>
        <w:r>
          <w:rPr>
            <w:noProof/>
            <w:webHidden/>
          </w:rPr>
        </w:r>
        <w:r>
          <w:rPr>
            <w:noProof/>
            <w:webHidden/>
          </w:rPr>
          <w:fldChar w:fldCharType="separate"/>
        </w:r>
        <w:r w:rsidR="008C69EE">
          <w:rPr>
            <w:noProof/>
            <w:webHidden/>
          </w:rPr>
          <w:t>2</w:t>
        </w:r>
        <w:r>
          <w:rPr>
            <w:noProof/>
            <w:webHidden/>
          </w:rPr>
          <w:fldChar w:fldCharType="end"/>
        </w:r>
      </w:hyperlink>
    </w:p>
    <w:p w:rsidR="00935F3F" w:rsidRDefault="000B4E41">
      <w:pPr>
        <w:pStyle w:val="TOC1"/>
        <w:tabs>
          <w:tab w:val="right" w:pos="12950"/>
        </w:tabs>
        <w:rPr>
          <w:rFonts w:ascii="Times New Roman" w:hAnsi="Times New Roman" w:cs="Times New Roman"/>
          <w:b w:val="0"/>
          <w:bCs w:val="0"/>
          <w:caps w:val="0"/>
          <w:noProof/>
        </w:rPr>
      </w:pPr>
      <w:hyperlink w:anchor="_Toc191130441" w:history="1">
        <w:r w:rsidR="00935F3F" w:rsidRPr="00443C20">
          <w:rPr>
            <w:rStyle w:val="Hyperlink"/>
            <w:noProof/>
          </w:rPr>
          <w:t>PART 2. BUDGETING PRINCIPLES TO BE FOLLOWED</w:t>
        </w:r>
        <w:r w:rsidR="00935F3F">
          <w:rPr>
            <w:noProof/>
            <w:webHidden/>
          </w:rPr>
          <w:tab/>
        </w:r>
        <w:r w:rsidR="00150099">
          <w:rPr>
            <w:noProof/>
            <w:webHidden/>
          </w:rPr>
          <w:fldChar w:fldCharType="begin"/>
        </w:r>
        <w:r w:rsidR="00935F3F">
          <w:rPr>
            <w:noProof/>
            <w:webHidden/>
          </w:rPr>
          <w:instrText xml:space="preserve"> PAGEREF _Toc191130441 \h </w:instrText>
        </w:r>
        <w:r w:rsidR="00150099">
          <w:rPr>
            <w:noProof/>
            <w:webHidden/>
          </w:rPr>
        </w:r>
        <w:r w:rsidR="00150099">
          <w:rPr>
            <w:noProof/>
            <w:webHidden/>
          </w:rPr>
          <w:fldChar w:fldCharType="separate"/>
        </w:r>
        <w:r w:rsidR="008C69EE">
          <w:rPr>
            <w:noProof/>
            <w:webHidden/>
          </w:rPr>
          <w:t>2</w:t>
        </w:r>
        <w:r w:rsidR="00150099">
          <w:rPr>
            <w:noProof/>
            <w:webHidden/>
          </w:rPr>
          <w:fldChar w:fldCharType="end"/>
        </w:r>
      </w:hyperlink>
    </w:p>
    <w:p w:rsidR="00935F3F" w:rsidRDefault="000B4E41">
      <w:pPr>
        <w:pStyle w:val="TOC1"/>
        <w:tabs>
          <w:tab w:val="right" w:pos="12950"/>
        </w:tabs>
        <w:rPr>
          <w:rFonts w:ascii="Times New Roman" w:hAnsi="Times New Roman" w:cs="Times New Roman"/>
          <w:b w:val="0"/>
          <w:bCs w:val="0"/>
          <w:caps w:val="0"/>
          <w:noProof/>
        </w:rPr>
      </w:pPr>
      <w:hyperlink w:anchor="_Toc191130442" w:history="1">
        <w:r w:rsidR="00935F3F" w:rsidRPr="00443C20">
          <w:rPr>
            <w:rStyle w:val="Hyperlink"/>
            <w:noProof/>
          </w:rPr>
          <w:t>PART 3. RESPONSIBILITIES OF THE CHIEF FINANCIAL OFFICER</w:t>
        </w:r>
        <w:r w:rsidR="00935F3F">
          <w:rPr>
            <w:noProof/>
            <w:webHidden/>
          </w:rPr>
          <w:tab/>
        </w:r>
        <w:r w:rsidR="00150099">
          <w:rPr>
            <w:noProof/>
            <w:webHidden/>
          </w:rPr>
          <w:fldChar w:fldCharType="begin"/>
        </w:r>
        <w:r w:rsidR="00935F3F">
          <w:rPr>
            <w:noProof/>
            <w:webHidden/>
          </w:rPr>
          <w:instrText xml:space="preserve"> PAGEREF _Toc191130442 \h </w:instrText>
        </w:r>
        <w:r w:rsidR="00150099">
          <w:rPr>
            <w:noProof/>
            <w:webHidden/>
          </w:rPr>
        </w:r>
        <w:r w:rsidR="00150099">
          <w:rPr>
            <w:noProof/>
            <w:webHidden/>
          </w:rPr>
          <w:fldChar w:fldCharType="separate"/>
        </w:r>
        <w:r w:rsidR="008C69EE">
          <w:rPr>
            <w:noProof/>
            <w:webHidden/>
          </w:rPr>
          <w:t>7</w:t>
        </w:r>
        <w:r w:rsidR="00150099">
          <w:rPr>
            <w:noProof/>
            <w:webHidden/>
          </w:rPr>
          <w:fldChar w:fldCharType="end"/>
        </w:r>
      </w:hyperlink>
    </w:p>
    <w:p w:rsidR="00935F3F" w:rsidRDefault="000B4E41">
      <w:pPr>
        <w:pStyle w:val="TOC1"/>
        <w:tabs>
          <w:tab w:val="right" w:pos="12950"/>
        </w:tabs>
        <w:rPr>
          <w:rFonts w:ascii="Times New Roman" w:hAnsi="Times New Roman" w:cs="Times New Roman"/>
          <w:b w:val="0"/>
          <w:bCs w:val="0"/>
          <w:caps w:val="0"/>
          <w:noProof/>
        </w:rPr>
      </w:pPr>
      <w:hyperlink w:anchor="_Toc191130443" w:history="1">
        <w:r w:rsidR="00935F3F" w:rsidRPr="00443C20">
          <w:rPr>
            <w:rStyle w:val="Hyperlink"/>
            <w:noProof/>
          </w:rPr>
          <w:t>PART 4. ANNEXURE: LEGAL REQUIREMENTS</w:t>
        </w:r>
        <w:r w:rsidR="00935F3F">
          <w:rPr>
            <w:noProof/>
            <w:webHidden/>
          </w:rPr>
          <w:tab/>
        </w:r>
        <w:r w:rsidR="00150099">
          <w:rPr>
            <w:noProof/>
            <w:webHidden/>
          </w:rPr>
          <w:fldChar w:fldCharType="begin"/>
        </w:r>
        <w:r w:rsidR="00935F3F">
          <w:rPr>
            <w:noProof/>
            <w:webHidden/>
          </w:rPr>
          <w:instrText xml:space="preserve"> PAGEREF _Toc191130443 \h </w:instrText>
        </w:r>
        <w:r w:rsidR="00150099">
          <w:rPr>
            <w:noProof/>
            <w:webHidden/>
          </w:rPr>
        </w:r>
        <w:r w:rsidR="00150099">
          <w:rPr>
            <w:noProof/>
            <w:webHidden/>
          </w:rPr>
          <w:fldChar w:fldCharType="separate"/>
        </w:r>
        <w:r w:rsidR="008C69EE">
          <w:rPr>
            <w:noProof/>
            <w:webHidden/>
          </w:rPr>
          <w:t>11</w:t>
        </w:r>
        <w:r w:rsidR="00150099">
          <w:rPr>
            <w:noProof/>
            <w:webHidden/>
          </w:rPr>
          <w:fldChar w:fldCharType="end"/>
        </w:r>
      </w:hyperlink>
    </w:p>
    <w:p w:rsidR="00935F3F" w:rsidRDefault="000B4E41">
      <w:pPr>
        <w:pStyle w:val="TOC1"/>
        <w:tabs>
          <w:tab w:val="right" w:pos="12950"/>
        </w:tabs>
        <w:rPr>
          <w:rFonts w:ascii="Times New Roman" w:hAnsi="Times New Roman" w:cs="Times New Roman"/>
          <w:b w:val="0"/>
          <w:bCs w:val="0"/>
          <w:caps w:val="0"/>
          <w:noProof/>
        </w:rPr>
      </w:pPr>
      <w:hyperlink w:anchor="_Toc191130444" w:history="1">
        <w:r w:rsidR="00935F3F" w:rsidRPr="00443C20">
          <w:rPr>
            <w:rStyle w:val="Hyperlink"/>
            <w:noProof/>
          </w:rPr>
          <w:t>Section 18 Funding of expenditures</w:t>
        </w:r>
        <w:r w:rsidR="00935F3F">
          <w:rPr>
            <w:noProof/>
            <w:webHidden/>
          </w:rPr>
          <w:tab/>
        </w:r>
        <w:r w:rsidR="00150099">
          <w:rPr>
            <w:noProof/>
            <w:webHidden/>
          </w:rPr>
          <w:fldChar w:fldCharType="begin"/>
        </w:r>
        <w:r w:rsidR="00935F3F">
          <w:rPr>
            <w:noProof/>
            <w:webHidden/>
          </w:rPr>
          <w:instrText xml:space="preserve"> PAGEREF _Toc191130444 \h </w:instrText>
        </w:r>
        <w:r w:rsidR="00150099">
          <w:rPr>
            <w:noProof/>
            <w:webHidden/>
          </w:rPr>
        </w:r>
        <w:r w:rsidR="00150099">
          <w:rPr>
            <w:noProof/>
            <w:webHidden/>
          </w:rPr>
          <w:fldChar w:fldCharType="separate"/>
        </w:r>
        <w:r w:rsidR="008C69EE">
          <w:rPr>
            <w:noProof/>
            <w:webHidden/>
          </w:rPr>
          <w:t>13</w:t>
        </w:r>
        <w:r w:rsidR="00150099">
          <w:rPr>
            <w:noProof/>
            <w:webHidden/>
          </w:rPr>
          <w:fldChar w:fldCharType="end"/>
        </w:r>
      </w:hyperlink>
    </w:p>
    <w:p w:rsidR="00935F3F" w:rsidRDefault="000B4E41">
      <w:pPr>
        <w:pStyle w:val="TOC1"/>
        <w:tabs>
          <w:tab w:val="right" w:pos="12950"/>
        </w:tabs>
        <w:rPr>
          <w:rFonts w:ascii="Times New Roman" w:hAnsi="Times New Roman" w:cs="Times New Roman"/>
          <w:b w:val="0"/>
          <w:bCs w:val="0"/>
          <w:caps w:val="0"/>
          <w:noProof/>
        </w:rPr>
      </w:pPr>
      <w:hyperlink w:anchor="_Toc191130445" w:history="1">
        <w:r w:rsidR="00935F3F" w:rsidRPr="00443C20">
          <w:rPr>
            <w:rStyle w:val="Hyperlink"/>
            <w:noProof/>
          </w:rPr>
          <w:t>Section 28 Municipal adjustments budgets</w:t>
        </w:r>
        <w:r w:rsidR="00935F3F">
          <w:rPr>
            <w:noProof/>
            <w:webHidden/>
          </w:rPr>
          <w:tab/>
        </w:r>
        <w:r w:rsidR="00150099">
          <w:rPr>
            <w:noProof/>
            <w:webHidden/>
          </w:rPr>
          <w:fldChar w:fldCharType="begin"/>
        </w:r>
        <w:r w:rsidR="00935F3F">
          <w:rPr>
            <w:noProof/>
            <w:webHidden/>
          </w:rPr>
          <w:instrText xml:space="preserve"> PAGEREF _Toc191130445 \h </w:instrText>
        </w:r>
        <w:r w:rsidR="00150099">
          <w:rPr>
            <w:noProof/>
            <w:webHidden/>
          </w:rPr>
        </w:r>
        <w:r w:rsidR="00150099">
          <w:rPr>
            <w:noProof/>
            <w:webHidden/>
          </w:rPr>
          <w:fldChar w:fldCharType="separate"/>
        </w:r>
        <w:r w:rsidR="008C69EE">
          <w:rPr>
            <w:noProof/>
            <w:webHidden/>
          </w:rPr>
          <w:t>17</w:t>
        </w:r>
        <w:r w:rsidR="00150099">
          <w:rPr>
            <w:noProof/>
            <w:webHidden/>
          </w:rPr>
          <w:fldChar w:fldCharType="end"/>
        </w:r>
      </w:hyperlink>
    </w:p>
    <w:p w:rsidR="000F7211" w:rsidRDefault="00150099" w:rsidP="000F7211">
      <w:pPr>
        <w:pStyle w:val="BodyText"/>
        <w:jc w:val="both"/>
        <w:rPr>
          <w:sz w:val="24"/>
        </w:rPr>
      </w:pPr>
      <w:r>
        <w:rPr>
          <w:sz w:val="24"/>
        </w:rPr>
        <w:fldChar w:fldCharType="end"/>
      </w: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Pr="00104E98" w:rsidRDefault="000F7211" w:rsidP="000F7211">
      <w:pPr>
        <w:pStyle w:val="Heading1"/>
        <w:jc w:val="left"/>
        <w:rPr>
          <w:u w:val="none"/>
        </w:rPr>
      </w:pPr>
      <w:bookmarkStart w:id="1" w:name="_Toc191130440"/>
      <w:r w:rsidRPr="00104E98">
        <w:rPr>
          <w:u w:val="none"/>
        </w:rPr>
        <w:t>PART 1. OBJECTIVE</w:t>
      </w:r>
      <w:bookmarkEnd w:id="1"/>
    </w:p>
    <w:p w:rsidR="000F7211" w:rsidRDefault="000F7211" w:rsidP="000F7211">
      <w:pPr>
        <w:pStyle w:val="BodyText"/>
        <w:jc w:val="both"/>
        <w:rPr>
          <w:sz w:val="24"/>
        </w:rPr>
      </w:pPr>
    </w:p>
    <w:p w:rsidR="000F7211" w:rsidRDefault="000F7211" w:rsidP="000F7211">
      <w:pPr>
        <w:pStyle w:val="BodyText"/>
        <w:jc w:val="both"/>
        <w:rPr>
          <w:sz w:val="24"/>
        </w:rPr>
      </w:pPr>
      <w:r>
        <w:rPr>
          <w:sz w:val="24"/>
        </w:rPr>
        <w:t>To set out the budgeting principles which the municipality will follow in preparing each annual budget and adjustment budget, as well as the responsibilities of the chief financial officer in compiling such budget.</w:t>
      </w:r>
    </w:p>
    <w:p w:rsidR="000F7211" w:rsidRDefault="000F7211" w:rsidP="000F7211">
      <w:pPr>
        <w:spacing w:line="360" w:lineRule="auto"/>
        <w:jc w:val="both"/>
        <w:rPr>
          <w:rFonts w:ascii="Arial" w:hAnsi="Arial" w:cs="Arial"/>
        </w:rPr>
      </w:pPr>
    </w:p>
    <w:p w:rsidR="000F7211" w:rsidRPr="00104E98" w:rsidRDefault="000F7211" w:rsidP="000F7211">
      <w:pPr>
        <w:pStyle w:val="Heading1"/>
        <w:jc w:val="left"/>
        <w:rPr>
          <w:u w:val="none"/>
        </w:rPr>
      </w:pPr>
      <w:bookmarkStart w:id="2" w:name="_Toc191130441"/>
      <w:r w:rsidRPr="00104E98">
        <w:rPr>
          <w:u w:val="none"/>
        </w:rPr>
        <w:t>PART 2. BUDGETING PRINCIPLES TO BE FOLLOWED</w:t>
      </w:r>
      <w:bookmarkEnd w:id="2"/>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Except in so far as capital projects represent a contractual commitment to the municipality extending over more than one financial year, the annual capital budget shall be prepared from a zero base.</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capital budget component of the annual or adjustments budget shall only be approved by the council if it has been properly balanced, that is, if the sources of finance which are realistically envisaged to fund the budget equal the proposed capital expenses.</w:t>
      </w:r>
    </w:p>
    <w:p w:rsidR="000F7211" w:rsidRDefault="000F7211" w:rsidP="000F7211">
      <w:pPr>
        <w:spacing w:line="360" w:lineRule="auto"/>
        <w:ind w:left="720"/>
        <w:jc w:val="both"/>
        <w:rPr>
          <w:rFonts w:ascii="Arial" w:hAnsi="Arial" w:cs="Arial"/>
        </w:rPr>
      </w:pPr>
    </w:p>
    <w:p w:rsidR="000F7211" w:rsidRDefault="000F7211" w:rsidP="000F7211">
      <w:pPr>
        <w:pStyle w:val="BodyTextIndent"/>
        <w:ind w:left="0"/>
      </w:pPr>
      <w:r>
        <w:t>Before approving the capital budget component of the annual or adjustments budget, the council shall consider the impact on the present and future operating budgets of the municipality in relation to finance charges to be incurred on external loans, depreciation of fixed assets, maintenance of fixed assets,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The council shall establish a </w:t>
      </w:r>
      <w:r>
        <w:rPr>
          <w:rFonts w:ascii="Arial" w:hAnsi="Arial" w:cs="Arial"/>
          <w:b/>
        </w:rPr>
        <w:t>Capital Replacement Reserve</w:t>
      </w:r>
      <w:r>
        <w:rPr>
          <w:rFonts w:ascii="Arial" w:hAnsi="Arial" w:cs="Arial"/>
        </w:rPr>
        <w:t xml:space="preserve"> for the purpose of </w:t>
      </w:r>
      <w:r w:rsidRPr="00FD7DB6">
        <w:rPr>
          <w:rFonts w:ascii="Arial" w:hAnsi="Arial" w:cs="Arial"/>
          <w:u w:val="single"/>
        </w:rPr>
        <w:t>financing capital projects and the acquisition of capital assets</w:t>
      </w:r>
      <w:r>
        <w:rPr>
          <w:rFonts w:ascii="Arial" w:hAnsi="Arial" w:cs="Arial"/>
        </w:rPr>
        <w:t>.  Such reserve can be established from the following sources of revenue:</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unappropriated </w:t>
      </w:r>
      <w:r w:rsidRPr="00C77DE8">
        <w:rPr>
          <w:rFonts w:ascii="Arial" w:hAnsi="Arial" w:cs="Arial"/>
          <w:b/>
        </w:rPr>
        <w:t xml:space="preserve">cash-backed surpluses </w:t>
      </w:r>
      <w:r>
        <w:rPr>
          <w:rFonts w:ascii="Arial" w:hAnsi="Arial" w:cs="Arial"/>
        </w:rPr>
        <w:t>to the extent that such surpluses are not required for operational purposes;</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t>interest</w:t>
      </w:r>
      <w:r>
        <w:rPr>
          <w:rFonts w:ascii="Arial" w:hAnsi="Arial" w:cs="Arial"/>
        </w:rPr>
        <w:t xml:space="preserve"> on the investments of the Capital Replacement Reserve, appropriated in terms of the banking and investments policy;</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further amounts appropriated as </w:t>
      </w:r>
      <w:r w:rsidRPr="00C77DE8">
        <w:rPr>
          <w:rFonts w:ascii="Arial" w:hAnsi="Arial" w:cs="Arial"/>
          <w:b/>
        </w:rPr>
        <w:t>contributions</w:t>
      </w:r>
      <w:r>
        <w:rPr>
          <w:rFonts w:ascii="Arial" w:hAnsi="Arial" w:cs="Arial"/>
        </w:rPr>
        <w:t xml:space="preserve"> in each annual or adjustments budget; and</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lastRenderedPageBreak/>
        <w:t>net gains on the sale of fixed assets</w:t>
      </w:r>
      <w:r>
        <w:rPr>
          <w:rFonts w:ascii="Arial" w:hAnsi="Arial" w:cs="Arial"/>
        </w:rPr>
        <w:t xml:space="preserve"> in terms of the fixed asset management and accounting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Each annual and adjustments budget shall reflect realistic excess, however nominal, of current revenues over expenses.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Any unappropriated surplus from previous financial years, even if fully cash- backed, shall not be used to balance any annual or adjustments budget, but shall be appropriated, as far as it is not required to finance the payment of operating creditors or for other operational purposes, to the municipality’s Capital Replacement Reserve.</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  </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accrued leave</w:t>
      </w:r>
      <w:r>
        <w:rPr>
          <w:rFonts w:ascii="Arial" w:hAnsi="Arial" w:cs="Arial"/>
        </w:rPr>
        <w:t xml:space="preserve"> entitlements equal to 100% of the accrued leave entitlement of officials as at 30 June of each financial year, and 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bad debts</w:t>
      </w:r>
      <w:r>
        <w:rPr>
          <w:rFonts w:ascii="Arial" w:hAnsi="Arial" w:cs="Arial"/>
        </w:rPr>
        <w:t xml:space="preserve"> in accordance with its rates and tariffs policies, and 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the obsolescence and deterioration of stock</w:t>
      </w:r>
      <w:r>
        <w:rPr>
          <w:rFonts w:ascii="Arial" w:hAnsi="Arial" w:cs="Arial"/>
        </w:rPr>
        <w:t xml:space="preserve"> in accordance with its stores management policy, and </w:t>
      </w:r>
      <w:r>
        <w:rPr>
          <w:rFonts w:ascii="Arial" w:hAnsi="Arial" w:cs="Arial"/>
        </w:rPr>
        <w:lastRenderedPageBreak/>
        <w:t>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Pr="00121C75" w:rsidRDefault="000F7211" w:rsidP="000F7211">
      <w:pPr>
        <w:spacing w:line="360" w:lineRule="auto"/>
        <w:jc w:val="both"/>
        <w:rPr>
          <w:rFonts w:ascii="Arial" w:hAnsi="Arial" w:cs="Arial"/>
        </w:rPr>
      </w:pPr>
      <w:r w:rsidRPr="00121C75">
        <w:rPr>
          <w:rFonts w:ascii="Arial" w:hAnsi="Arial" w:cs="Arial"/>
        </w:rPr>
        <w:t xml:space="preserve">All expenses, including depreciation expenses, shall be cash-funded.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Finance charges payable by the municipality shall be charged to the department or vote to which the fixed assets acquired relate or apportioned between departments or votes on the basis of the proportion the value of their acquired fixed assets to the total fixed assets acquired and financed by the loan. </w:t>
      </w:r>
    </w:p>
    <w:p w:rsidR="000F7211" w:rsidRDefault="000F7211" w:rsidP="000F7211">
      <w:pPr>
        <w:spacing w:line="360" w:lineRule="auto"/>
        <w:ind w:left="720"/>
        <w:jc w:val="both"/>
        <w:rPr>
          <w:rFonts w:ascii="Arial" w:hAnsi="Arial" w:cs="Arial"/>
        </w:rPr>
      </w:pPr>
    </w:p>
    <w:p w:rsidR="000F7211" w:rsidRDefault="000F7211" w:rsidP="000F7211">
      <w:pPr>
        <w:pStyle w:val="BodyText"/>
        <w:jc w:val="both"/>
        <w:rPr>
          <w:sz w:val="24"/>
        </w:rPr>
      </w:pPr>
      <w:r>
        <w:rPr>
          <w:sz w:val="24"/>
        </w:rPr>
        <w:t>The allocation of interest earned on the municipality’s investments shall be budgeted for in terms of the banking and investment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adequately provide in each annual and adjustments budget for the </w:t>
      </w:r>
      <w:r w:rsidRPr="00DB342E">
        <w:rPr>
          <w:rFonts w:ascii="Arial" w:hAnsi="Arial" w:cs="Arial"/>
          <w:b/>
        </w:rPr>
        <w:t>maintenance of its fixed assets</w:t>
      </w:r>
      <w:r>
        <w:rPr>
          <w:rFonts w:ascii="Arial" w:hAnsi="Arial" w:cs="Arial"/>
        </w:rPr>
        <w:t xml:space="preserve"> in accordance with its fixed asset management and accounting policy.  </w:t>
      </w:r>
      <w:r w:rsidRPr="00DB342E">
        <w:rPr>
          <w:rFonts w:ascii="Arial" w:hAnsi="Arial" w:cs="Arial"/>
          <w:u w:val="single"/>
        </w:rPr>
        <w:t>At least 5%</w:t>
      </w:r>
      <w:r>
        <w:rPr>
          <w:rFonts w:ascii="Arial" w:hAnsi="Arial" w:cs="Arial"/>
        </w:rPr>
        <w:t xml:space="preserve"> of the operating budget component of each annual and adjustments budget shall be set aside for such maintenance.</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In order to ensure that the municipality has proper protection against unexpected negative fluctuations in revenue the municipality shall in each annual budget ensure that it maintains funds equal to the average monthly revenue for the past twelve months. Such funds shall be provided for according to the municipality’s investment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budget for </w:t>
      </w:r>
      <w:r w:rsidRPr="00DB342E">
        <w:rPr>
          <w:rFonts w:ascii="Arial" w:hAnsi="Arial" w:cs="Arial"/>
          <w:b/>
        </w:rPr>
        <w:t>salaries, allowances and salaries-related benefits</w:t>
      </w:r>
      <w:r>
        <w:rPr>
          <w:rFonts w:ascii="Arial" w:hAnsi="Arial" w:cs="Arial"/>
        </w:rPr>
        <w:t xml:space="preserve"> shall be separately prepared, and </w:t>
      </w:r>
      <w:r w:rsidRPr="00DB342E">
        <w:rPr>
          <w:rFonts w:ascii="Arial" w:hAnsi="Arial" w:cs="Arial"/>
          <w:u w:val="single"/>
        </w:rPr>
        <w:t>shall not exceed 35%</w:t>
      </w:r>
      <w:r>
        <w:rPr>
          <w:rFonts w:ascii="Arial" w:hAnsi="Arial" w:cs="Arial"/>
        </w:rPr>
        <w:t xml:space="preserve"> of the aggregate operating budget component of the annual or adjustments budget.  For purposes of applying this principle, the </w:t>
      </w:r>
      <w:r w:rsidRPr="00DB342E">
        <w:rPr>
          <w:rFonts w:ascii="Arial" w:hAnsi="Arial" w:cs="Arial"/>
          <w:u w:val="single"/>
        </w:rPr>
        <w:t>remuneration of political office bearers and other councillors shall be excluded from this limit</w:t>
      </w:r>
      <w:r>
        <w:rPr>
          <w:rFonts w:ascii="Arial" w:hAnsi="Arial" w:cs="Arial"/>
        </w:rPr>
        <w:t xml:space="preserve">.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Each departmental manager shall justify the allocation of the aggregate budget for his vote to the various line-items within the vote to the budget study group. For this purpose the manager must, inter alia, provide the budget study group with appropriate quarterly performance indicators and service delivery targets pertaining to the budget.  Such indicators and targets shall be prepared with the approval of the municipal manager and the mayor.</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In preparing its </w:t>
      </w:r>
      <w:r w:rsidRPr="009937DB">
        <w:rPr>
          <w:rFonts w:ascii="Arial" w:hAnsi="Arial" w:cs="Arial"/>
          <w:b/>
        </w:rPr>
        <w:t>revenue budget</w:t>
      </w:r>
      <w:r>
        <w:rPr>
          <w:rFonts w:ascii="Arial" w:hAnsi="Arial" w:cs="Arial"/>
        </w:rPr>
        <w:t xml:space="preserve">, the municipality shall strive to maintain the aggregate </w:t>
      </w:r>
      <w:r w:rsidRPr="009937DB">
        <w:rPr>
          <w:rFonts w:ascii="Arial" w:hAnsi="Arial" w:cs="Arial"/>
          <w:u w:val="single"/>
        </w:rPr>
        <w:t>revenues from property rates at not less than 25%</w:t>
      </w:r>
      <w:r>
        <w:rPr>
          <w:rFonts w:ascii="Arial" w:hAnsi="Arial" w:cs="Arial"/>
        </w:rPr>
        <w:t xml:space="preserve"> of the aggregate revenues budgeted for.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When considering the draft annual budget, the council shall consider the impact, which the proposed increases in rates and service tariffs will have on the monthly municipal accounts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 and is within the guidelines set by National Treasury. Where compelling reasons exists for increasing the tariffs and rates above the National Treasury guidelines such reasons must be properly documented and communicated to the community during the budget public participation process and also submitted to the National Treasury. Such documentation must indicate the actual amount required to be raised by the additional increase and the purpose for which this additional revenue will be used.</w:t>
      </w:r>
    </w:p>
    <w:p w:rsidR="000F7211" w:rsidRDefault="000F7211" w:rsidP="000F7211">
      <w:pPr>
        <w:spacing w:line="360" w:lineRule="auto"/>
        <w:ind w:left="720"/>
        <w:jc w:val="both"/>
        <w:rPr>
          <w:rFonts w:ascii="Arial" w:hAnsi="Arial" w:cs="Arial"/>
        </w:rPr>
      </w:pPr>
    </w:p>
    <w:p w:rsidR="000F7211" w:rsidRPr="00104E98" w:rsidRDefault="000F7211" w:rsidP="000F7211">
      <w:pPr>
        <w:spacing w:line="360" w:lineRule="auto"/>
        <w:jc w:val="both"/>
        <w:rPr>
          <w:rFonts w:ascii="Arial" w:hAnsi="Arial" w:cs="Arial"/>
        </w:rPr>
      </w:pPr>
      <w:r>
        <w:rPr>
          <w:rFonts w:ascii="Arial" w:hAnsi="Arial" w:cs="Arial"/>
          <w:u w:val="single"/>
        </w:rPr>
        <w:br w:type="page"/>
      </w:r>
      <w:bookmarkStart w:id="3" w:name="_Toc191130442"/>
      <w:r w:rsidRPr="00104E98">
        <w:rPr>
          <w:rStyle w:val="Heading1Char"/>
          <w:u w:val="none"/>
        </w:rPr>
        <w:lastRenderedPageBreak/>
        <w:t>PART 3. RESPONSIBILITIES OF THE CHIEF FINANCIAL OFFICER</w:t>
      </w:r>
      <w:bookmarkEnd w:id="3"/>
      <w:r w:rsidRPr="00104E98">
        <w:rPr>
          <w:rFonts w:ascii="Arial" w:hAnsi="Arial" w:cs="Arial"/>
        </w:rPr>
        <w:t xml:space="preserve"> (ASSUMING REQUIRED DELEGATIONS BY </w:t>
      </w:r>
      <w:smartTag w:uri="urn:schemas-microsoft-com:office:smarttags" w:element="Street">
        <w:smartTag w:uri="urn:schemas-microsoft-com:office:smarttags" w:element="address">
          <w:r w:rsidRPr="00104E98">
            <w:rPr>
              <w:rFonts w:ascii="Arial" w:hAnsi="Arial" w:cs="Arial"/>
            </w:rPr>
            <w:t>ACCOUNITNG OFFICER IN PLACE</w:t>
          </w:r>
        </w:smartTag>
      </w:smartTag>
      <w:r w:rsidRPr="00104E98">
        <w:rPr>
          <w:rFonts w:ascii="Arial" w:hAnsi="Arial" w:cs="Arial"/>
        </w:rPr>
        <w: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Without derogating in any way from the legal responsibilities of the municipal manager as accounting officer, the chief financial officer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municipal manager shall ensure that all managers provide the inputs required by the chief financial officer into these budget processes.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draft the budget timetable for the ensuing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cluster, executive committee and council.</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Except where the chief financial officer, with the consent of the mayor and municipal manager, decides otherwise, the sequence in which each annual budget and adjustments budget shall be prepared, shall be: first, the operational budget to provide for committed operational expenses like salaries, councilors allowances, Insurance, contracted services, depreciation, loan repayments, interest on loans and maintenance of existing assets, then the capital component but with the </w:t>
      </w:r>
      <w:r>
        <w:rPr>
          <w:rFonts w:ascii="Arial" w:hAnsi="Arial" w:cs="Arial"/>
        </w:rPr>
        <w:lastRenderedPageBreak/>
        <w:t xml:space="preserve">operational impact taken up in the operational budget.  The operating component shall duly reflect the impact of the capital component on: </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depreciation charges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repairs and maintenance expenses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interest payable on external borrowings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other operating expenses.</w:t>
      </w:r>
    </w:p>
    <w:p w:rsidR="000F7211" w:rsidRDefault="000F7211" w:rsidP="000F7211">
      <w:pPr>
        <w:spacing w:line="360" w:lineRule="auto"/>
        <w:ind w:left="720"/>
        <w:jc w:val="both"/>
        <w:rPr>
          <w:rFonts w:ascii="Arial" w:hAnsi="Arial" w:cs="Arial"/>
        </w:rPr>
      </w:pPr>
    </w:p>
    <w:p w:rsidR="000F7211" w:rsidRDefault="000F7211" w:rsidP="000F7211">
      <w:pPr>
        <w:pStyle w:val="BodyText2"/>
      </w:pPr>
      <w:r>
        <w:t>In preparing the operating budget, the chief financial officer shall determine the number and type of votes to be used and the line-items to be shown under each vote, provided that in so doing the chief financial officer shall properly and adequately reflect the organisational structure of the municipality, and further in so doing shall comply – in so far as the organisational structure permits – also with the prescribed budget format of National Treasury.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determine the depreciation expenses to be charged to each vote, the apportionment of interest payable to the appropriate votes, the estimates of withdrawals from (claims) and contributions to (premiums) the self-insurance reserve, and the contributions to the provisions for bad debts, accrued leave entitlements and obsolescence of stocks.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sidRPr="00465C6E">
        <w:rPr>
          <w:rFonts w:ascii="Arial" w:hAnsi="Arial" w:cs="Arial"/>
          <w:b/>
        </w:rPr>
        <w:t>At least one percent</w:t>
      </w:r>
      <w:r>
        <w:rPr>
          <w:rFonts w:ascii="Arial" w:hAnsi="Arial" w:cs="Arial"/>
        </w:rPr>
        <w:t xml:space="preserve"> of the total own revenue shall be transferred to the Capital Replacement Reserve together with an </w:t>
      </w:r>
      <w:r w:rsidRPr="00465C6E">
        <w:rPr>
          <w:rFonts w:ascii="Arial" w:hAnsi="Arial" w:cs="Arial"/>
          <w:b/>
        </w:rPr>
        <w:t>estimate of the service contributions</w:t>
      </w:r>
      <w:r>
        <w:rPr>
          <w:rFonts w:ascii="Arial" w:hAnsi="Arial" w:cs="Arial"/>
        </w:rPr>
        <w:t xml:space="preserve"> to be made in the coming financial year.</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chief financial officer shall compile monthly budget reports, with recommendations, comparing actual results with budgeted projections, and the departmental managers shall timeously and adequately furnish the chief financial officer with all explanations required for deviations from the budget.  The chief financial officer shall submit these monthly reports to the mayor, finance cluster </w:t>
      </w:r>
      <w:r>
        <w:rPr>
          <w:rFonts w:ascii="Arial" w:hAnsi="Arial" w:cs="Arial"/>
        </w:rPr>
        <w:lastRenderedPageBreak/>
        <w:t>and executive committee, and all other prescribed parties, in accordance with the prescriptions of the Municipal Finance Management Act.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provide technical and administrative support to the mayor in the preparation and approval of the annual and adjustment budgets, as well as in the consultative processes, which must precede the approval of such budgets.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chief financial officer shall ensure that the annual and adjustments budgets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comply with the requirements of the National Treasury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reflect the budget priorities determined by the mayor,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are aligned with the IDP,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and comply with all budget-related policies, </w:t>
      </w:r>
    </w:p>
    <w:p w:rsidR="000F7211" w:rsidRDefault="000F7211" w:rsidP="000F7211">
      <w:pPr>
        <w:numPr>
          <w:ilvl w:val="0"/>
          <w:numId w:val="4"/>
        </w:numPr>
        <w:spacing w:line="360" w:lineRule="auto"/>
        <w:jc w:val="both"/>
        <w:rPr>
          <w:rFonts w:ascii="Arial" w:hAnsi="Arial" w:cs="Arial"/>
        </w:rPr>
      </w:pPr>
      <w:r>
        <w:rPr>
          <w:rFonts w:ascii="Arial" w:hAnsi="Arial" w:cs="Arial"/>
        </w:rPr>
        <w:t>and shall make recommendations to the mayor on the revision of the IDP and the budget-related policies where these are indicated.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determine the basis for allocating overhead expenses not directly chargeable to votes.  The expenses associated with the democratic process shall be allocated to a separate vote, and shall not be charged out as an overhead.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ensure that the cost of indigency relief is separately reflected.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0F7211" w:rsidRDefault="000F7211" w:rsidP="000F7211">
      <w:pPr>
        <w:spacing w:line="360" w:lineRule="auto"/>
        <w:jc w:val="both"/>
        <w:rPr>
          <w:rFonts w:ascii="Arial" w:hAnsi="Arial" w:cs="Arial"/>
        </w:rPr>
      </w:pPr>
    </w:p>
    <w:p w:rsidR="000F7211" w:rsidRPr="00104E98" w:rsidRDefault="000F7211" w:rsidP="000F7211">
      <w:pPr>
        <w:pStyle w:val="Heading1"/>
        <w:jc w:val="left"/>
        <w:rPr>
          <w:u w:val="none"/>
        </w:rPr>
      </w:pPr>
      <w:r>
        <w:br w:type="page"/>
      </w:r>
      <w:bookmarkStart w:id="4" w:name="_Toc191130443"/>
      <w:r w:rsidRPr="00104E98">
        <w:rPr>
          <w:u w:val="none"/>
        </w:rPr>
        <w:lastRenderedPageBreak/>
        <w:t>PART 4. ANNEXURE: LEGAL REQUIREMENTS</w:t>
      </w:r>
      <w:bookmarkEnd w:id="4"/>
      <w:r w:rsidRPr="00104E98">
        <w:rPr>
          <w:u w:val="none"/>
        </w:rPr>
        <w:t xml:space="preserve"> </w:t>
      </w:r>
    </w:p>
    <w:p w:rsidR="000F7211" w:rsidRPr="00104E98" w:rsidRDefault="000F7211" w:rsidP="000F7211">
      <w:pPr>
        <w:spacing w:line="360" w:lineRule="auto"/>
        <w:jc w:val="both"/>
        <w:rPr>
          <w:rFonts w:ascii="Arial" w:hAnsi="Arial" w:cs="Arial"/>
        </w:rPr>
      </w:pPr>
    </w:p>
    <w:p w:rsidR="000F7211" w:rsidRPr="00104E98" w:rsidRDefault="000F7211" w:rsidP="000F7211">
      <w:pPr>
        <w:pStyle w:val="BodyText"/>
        <w:jc w:val="both"/>
        <w:rPr>
          <w:sz w:val="24"/>
        </w:rPr>
      </w:pPr>
      <w:r w:rsidRPr="00104E98">
        <w:rPr>
          <w:sz w:val="24"/>
        </w:rPr>
        <w:t>Section 15 Appropriation of funds for expenditure</w:t>
      </w:r>
    </w:p>
    <w:p w:rsidR="000F7211" w:rsidRPr="00104E98" w:rsidRDefault="000F7211" w:rsidP="000F7211">
      <w:pPr>
        <w:pStyle w:val="BodyText"/>
        <w:jc w:val="both"/>
        <w:rPr>
          <w:sz w:val="24"/>
        </w:rPr>
      </w:pPr>
    </w:p>
    <w:p w:rsidR="000F7211" w:rsidRPr="00104E98" w:rsidRDefault="000F7211" w:rsidP="000F7211">
      <w:pPr>
        <w:pStyle w:val="BodyText"/>
        <w:jc w:val="both"/>
        <w:rPr>
          <w:sz w:val="24"/>
        </w:rPr>
      </w:pPr>
      <w:r w:rsidRPr="00104E98">
        <w:rPr>
          <w:sz w:val="24"/>
        </w:rPr>
        <w:t>Expenses may only be incurred in terms of the approved annual budget (or adjustments budget) and within the limits of the amounts appropriated for each budget vote.</w:t>
      </w:r>
    </w:p>
    <w:p w:rsidR="000F7211" w:rsidRPr="00104E98" w:rsidRDefault="000F7211" w:rsidP="000F7211">
      <w:pPr>
        <w:spacing w:line="360" w:lineRule="auto"/>
        <w:jc w:val="both"/>
        <w:rPr>
          <w:rFonts w:ascii="Arial" w:hAnsi="Arial" w:cs="Arial"/>
        </w:rPr>
      </w:pPr>
    </w:p>
    <w:p w:rsidR="000F7211" w:rsidRPr="00742927" w:rsidRDefault="000F7211" w:rsidP="00742927">
      <w:pPr>
        <w:rPr>
          <w:rFonts w:ascii="Arial" w:hAnsi="Arial" w:cs="Arial"/>
        </w:rPr>
      </w:pPr>
      <w:r w:rsidRPr="00742927">
        <w:rPr>
          <w:rFonts w:ascii="Arial" w:hAnsi="Arial" w:cs="Arial"/>
        </w:rPr>
        <w:t>Section 16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Council of the municipality must approve the annual budget before the start of the financial year to which it relates.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table the annual budget at least ninety days before the start of such financial year.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capital budget may extend over three years, provided that it is separated into annual appropriations for that period.</w:t>
      </w:r>
    </w:p>
    <w:p w:rsidR="000F7211" w:rsidRPr="00104E98" w:rsidRDefault="000F7211" w:rsidP="000F7211">
      <w:pPr>
        <w:spacing w:line="360" w:lineRule="auto"/>
        <w:jc w:val="both"/>
        <w:rPr>
          <w:rFonts w:ascii="Arial" w:hAnsi="Arial" w:cs="Arial"/>
        </w:rPr>
      </w:pPr>
    </w:p>
    <w:p w:rsidR="000F7211" w:rsidRPr="00742927" w:rsidRDefault="000F7211" w:rsidP="00742927">
      <w:pPr>
        <w:rPr>
          <w:rFonts w:ascii="Arial" w:hAnsi="Arial" w:cs="Arial"/>
        </w:rPr>
      </w:pPr>
      <w:r w:rsidRPr="00742927">
        <w:rPr>
          <w:rFonts w:ascii="Arial" w:hAnsi="Arial" w:cs="Arial"/>
        </w:rPr>
        <w:t>Section 17 Contents of annual budgets and supporting documents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be in the prescribed format, and must be divided into a capital and an operating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reflect the realistically expected revenues by major source for the budget year concerned.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expenses reflected in the budget must be divided into votes.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also contain the foregoing information for the two financial years following the financial year to which the budget relates, as well as the actual </w:t>
      </w:r>
      <w:r w:rsidRPr="00104E98">
        <w:rPr>
          <w:rFonts w:ascii="Arial" w:hAnsi="Arial" w:cs="Arial"/>
        </w:rPr>
        <w:lastRenderedPageBreak/>
        <w:t>revenues and expenses for the year before the current year, and the estimated revenues and expenses for the current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must be accompanied by all the following documents: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approving the budget and levying property rates, other taxes and tariffs for the financial year concerned;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(where applicable) amending the IDP and the budget-related policies;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measurable performance objectives for each budget vote, taking into account the municipality’s IDP;</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projected cash flows for the financial year by revenue sources and expenditure votes; </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IDP;</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budget-related policies;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cost to the municipality of the salaries, allowances and other benefits of its political office bearers and other councillors, the municipal manager, the chief financial officer, and other senior managers;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any proposed allocations or grants to other municipalities, municipal entities, external mechanisms assisting the municipality in service delivery, other organs of state, and organisations such as NGOs, welfare institutions and so on;</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the municipality’s investments; and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various information in regard to municipal entities under the shared or sole control of the municipality.</w:t>
      </w:r>
    </w:p>
    <w:p w:rsidR="000F7211" w:rsidRPr="00104E98" w:rsidRDefault="000F7211" w:rsidP="000F7211">
      <w:pPr>
        <w:spacing w:line="360" w:lineRule="auto"/>
        <w:jc w:val="both"/>
        <w:rPr>
          <w:rFonts w:ascii="Arial" w:hAnsi="Arial" w:cs="Arial"/>
        </w:rPr>
      </w:pPr>
    </w:p>
    <w:p w:rsidR="000F7211" w:rsidRPr="00104E98" w:rsidRDefault="000F7211" w:rsidP="000F7211">
      <w:pPr>
        <w:pStyle w:val="Heading1"/>
        <w:jc w:val="both"/>
        <w:rPr>
          <w:u w:val="none"/>
        </w:rPr>
      </w:pPr>
      <w:bookmarkStart w:id="5" w:name="_Toc191130444"/>
      <w:r w:rsidRPr="00104E98">
        <w:rPr>
          <w:u w:val="none"/>
        </w:rPr>
        <w:t>Section 18 Funding of expenditures</w:t>
      </w:r>
      <w:bookmarkEnd w:id="5"/>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may be financed only from:</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realistically expected revenues, based on current and previous collection levels;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cash-backed funds available from previous surpluses where such funds are not required for other purposes; and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borrowed funds in respect of the capital budget only.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19 </w:t>
      </w:r>
      <w:r w:rsidRPr="00A908BD">
        <w:rPr>
          <w:rFonts w:ascii="Arial" w:hAnsi="Arial" w:cs="Arial"/>
        </w:rPr>
        <w:t>Capital</w:t>
      </w:r>
      <w:r w:rsidRPr="00104E98">
        <w:t xml:space="preserve"> projects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municipality may spend money on a capital project only if the money for the project (including the cost of any required feasibility studies) has been appropriated in the capital budget.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total cost of the project must also be approved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envisaged sources of funding for the capital budget must be properly considered, and the Council must be satisfied that this funding is available and has not been committed for other purposes.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Before approving a capital project, the Council must consider the projected cost of the project over all the ensuing financial years until the project becomes operational, as well as the future operational costs and any revenues which may </w:t>
      </w:r>
      <w:r w:rsidRPr="00104E98">
        <w:rPr>
          <w:rFonts w:ascii="Arial" w:hAnsi="Arial" w:cs="Arial"/>
        </w:rPr>
        <w:lastRenderedPageBreak/>
        <w:t>arise in respect of such project, including the likely future impact on property rates and service tariffs.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20 </w:t>
      </w:r>
      <w:r w:rsidRPr="00A908BD">
        <w:rPr>
          <w:rFonts w:ascii="Arial" w:hAnsi="Arial" w:cs="Arial"/>
        </w:rPr>
        <w:t>Matters</w:t>
      </w:r>
      <w:r w:rsidRPr="00104E98">
        <w:t xml:space="preserve"> to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Minister of Finance must prescribe the form of the annual budget, and may further prescribe a variety of other matters, including the inflation projections which the municipality must use in compiling its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unreasonably prejudice national economic policies (particularly on inflation, administered pricing and equity), economic activities across municipal boundaries, and the national mobility of goods, services, capital or labour.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21 </w:t>
      </w:r>
      <w:r w:rsidRPr="00A908BD">
        <w:rPr>
          <w:rFonts w:ascii="Arial" w:hAnsi="Arial" w:cs="Arial"/>
        </w:rPr>
        <w:t>Budget</w:t>
      </w:r>
      <w:r w:rsidRPr="00104E98">
        <w:t xml:space="preserve"> preparation process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processes for preparing the annual budget, and for reviewing the municipality’s IDP and budget-related policies to ensure that the budget, the IDP, and the policies are mutually consistent and credible.</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When preparing the annual budget, take into account the municipality’s IDP, the national budget, provincial budget, the National Government’s fiscal and macro-economic policies, and the annual Division of Revenue Act.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municipality revises its IDP in line with realistic revenue and expenditure projections for future years.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district municipality (if it is a local municipality) and all other local municipalities in the district, and all other local municipalities in the district if it is a district municipality.</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National Treasury when requested, the Provincial Treasury, and such other provincial and national organs of state as may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on request, any budget-related information to the National Treasury, other national and provincial organs of state, and any other municipality affected by the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22 </w:t>
      </w:r>
      <w:r w:rsidRPr="00A908BD">
        <w:rPr>
          <w:rFonts w:ascii="Arial" w:hAnsi="Arial" w:cs="Arial"/>
        </w:rPr>
        <w:t>Publication</w:t>
      </w:r>
      <w:r w:rsidRPr="00104E98">
        <w:t xml:space="preserve"> of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Immediately after the annual budget has been tabled, the Municipal Manager must make this budget and other budget-related documentation public, and must invite the local community to submit representations in regard to such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also immediately submit the tabled budget in both printed and electronic formats to the National Treasury, the Provincial Treasury, and in either format to prescribed national and provincial organs of state and other municipalities affected by the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23 </w:t>
      </w:r>
      <w:r w:rsidRPr="00A908BD">
        <w:rPr>
          <w:rFonts w:ascii="Arial" w:hAnsi="Arial" w:cs="Arial"/>
        </w:rPr>
        <w:t>Consultations</w:t>
      </w:r>
      <w:r w:rsidRPr="00104E98">
        <w:t xml:space="preserve"> on tabled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After considering these views, the Council must give the Mayor the opportunity to respond to the submissions received, and – if necessary – revise the budget and table the relevant amendments for consideration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24 Approval of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Council must consider approval of the budget at least thirty days before the start of the financial year to which such budget relates.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must be approved before the start of such financial year, and the resolutions and performance objectives referred to in Section 17 must simultaneously be adopted.</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25 </w:t>
      </w:r>
      <w:r w:rsidRPr="00A908BD">
        <w:rPr>
          <w:rFonts w:ascii="Arial" w:hAnsi="Arial" w:cs="Arial"/>
        </w:rPr>
        <w:t>Failure</w:t>
      </w:r>
      <w:r w:rsidRPr="00104E98">
        <w:t xml:space="preserve"> to approve budget before start of budget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Section sets out the process which must be followed if the budget is not approved in the normal course of events.  Briefly the Council must reconsider and vote on the budget, or an amended version of the budget, every seven days until a budget is approved.  The Mayor must immediately inform the MEC for Local Government if the budget is not adopted by the start of the budget year, and may request a provincial intervention.</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lastRenderedPageBreak/>
        <w:t xml:space="preserve">Section 26 </w:t>
      </w:r>
      <w:r w:rsidRPr="00A908BD">
        <w:rPr>
          <w:rFonts w:ascii="Arial" w:hAnsi="Arial" w:cs="Arial"/>
        </w:rPr>
        <w:t>Consequences</w:t>
      </w:r>
      <w:r w:rsidRPr="00104E98">
        <w:t xml:space="preserve"> of failure to approve budget before start of budget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27 Non-</w:t>
      </w:r>
      <w:r w:rsidRPr="00A908BD">
        <w:rPr>
          <w:rFonts w:ascii="Arial" w:hAnsi="Arial" w:cs="Arial"/>
        </w:rPr>
        <w:t>compliance</w:t>
      </w:r>
      <w:r w:rsidRPr="00104E98">
        <w:t xml:space="preserve"> with provisions of this chapter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Section sets out the duties of the Mayor to report any impending non-compliance and the general consequences of non-compliance with the requirements of the various foregoing prescriptions.</w:t>
      </w:r>
    </w:p>
    <w:p w:rsidR="000F7211" w:rsidRPr="00104E98" w:rsidRDefault="000F7211" w:rsidP="000F7211">
      <w:pPr>
        <w:spacing w:line="360" w:lineRule="auto"/>
        <w:jc w:val="both"/>
        <w:rPr>
          <w:rFonts w:ascii="Arial" w:hAnsi="Arial" w:cs="Arial"/>
        </w:rPr>
      </w:pPr>
    </w:p>
    <w:p w:rsidR="000F7211" w:rsidRPr="00104E98" w:rsidRDefault="000F7211" w:rsidP="000F7211">
      <w:pPr>
        <w:pStyle w:val="Heading1"/>
        <w:jc w:val="both"/>
        <w:rPr>
          <w:u w:val="none"/>
        </w:rPr>
      </w:pPr>
      <w:bookmarkStart w:id="6" w:name="_Toc191130445"/>
      <w:r w:rsidRPr="00104E98">
        <w:rPr>
          <w:u w:val="none"/>
        </w:rPr>
        <w:t>Section 28 Municipal adjustments budgets</w:t>
      </w:r>
      <w:bookmarkEnd w:id="6"/>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revise its annual budget by means of an adjustments budget.  </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 xml:space="preserve">However, a municipality must promptly adjust its budgeted revenues and expenses if a material under-collection of revenues arises or is apparent.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municipality may appropriate additional revenues which have become available but only to revise or accelerate spending programmes already budgeted for.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in such adjustments budget, and within the prescribed framework, authorise unforeseen and unavoidable expenses on the recommendation of the Mayor.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A municipality may authorise the utilisation of projected savings on any vote towards spending under another vote.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Municipalities may also authorise the spending of funds unspent at the end of the previous financial year, where such under-spending could not reasonably have been foreseen at the time the annual budget was approved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Only the Mayor of the municipality may table an adjustments budget.  Such budget may be tabled whenever necessary, but limitations on the timing and frequency of such tabling may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An adjustments budget must contain all of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how the adjustments affect the approved annual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appropriate motivations for material adjustments;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the impact of any increased spending on the current and future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Municipal taxes and tariffs may not be increased during a financial year except if required in terms of a financial recovery plan.</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29  </w:t>
      </w:r>
      <w:r w:rsidRPr="00A908BD">
        <w:rPr>
          <w:rFonts w:ascii="Arial" w:hAnsi="Arial" w:cs="Arial"/>
        </w:rPr>
        <w:t>Unforeseen</w:t>
      </w:r>
      <w:r w:rsidRPr="00104E98">
        <w:t xml:space="preserve"> and unavoidable expenditure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In regard to unforeseen and unavoidable expenses, the following apply:</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may authorise such expenses in an emergency or other exceptional circumstances;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municipality may not exceed a prescribed percentage of the approved annual budget in respect of such unforeseen and unavoidable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these expenses must be reported by the Mayor to the next Council meeting;</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expenses must be appropriated in an adjustments budget;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the adjustments budget must be passed within sixty days after the expenses were incurred.</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30 </w:t>
      </w:r>
      <w:r w:rsidRPr="00A908BD">
        <w:rPr>
          <w:rFonts w:ascii="Arial" w:hAnsi="Arial" w:cs="Arial"/>
        </w:rPr>
        <w:t>Unspent</w:t>
      </w:r>
      <w:r w:rsidRPr="00104E98">
        <w:t xml:space="preserve"> funds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appropriation of funds in an annual or adjustments budget will lapse to the extent that they are unspent by the end of the relevant budget year, but except for the expenses referred to above in Section 16.</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31 </w:t>
      </w:r>
      <w:r w:rsidRPr="00A908BD">
        <w:rPr>
          <w:rFonts w:ascii="Arial" w:hAnsi="Arial" w:cs="Arial"/>
        </w:rPr>
        <w:t>Shifting</w:t>
      </w:r>
      <w:r w:rsidRPr="00104E98">
        <w:t xml:space="preserve"> of funds between multi-year appropriations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the funds for a capital project have been appropriated for more than one financial year (see Section 16) these expenses may exceed the appropriation for any one financial year, provided: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not more than 20% of that financial year’s allocation;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funded in the next financial year’s appropriations;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certifies that actual revenues are expected to exceed budgeted revenues, and that enough funds will be available to finance such increased appropriation without incurring further borrowing beyond the annual budget limit;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gives prior written approval for such increased appropriation;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the above documentation is provided to the Auditor-General.</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32 </w:t>
      </w:r>
      <w:r w:rsidRPr="00A908BD">
        <w:rPr>
          <w:rFonts w:ascii="Arial" w:hAnsi="Arial" w:cs="Arial"/>
        </w:rPr>
        <w:t>Unauthorised</w:t>
      </w:r>
      <w:r w:rsidRPr="00104E98">
        <w:t>, irregular or fruitless and wasteful expenditure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Unauthorised expenses may be authorised in an adjustments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33 </w:t>
      </w:r>
      <w:r w:rsidRPr="00A908BD">
        <w:rPr>
          <w:rFonts w:ascii="Arial" w:hAnsi="Arial" w:cs="Arial"/>
        </w:rPr>
        <w:t>Contracts</w:t>
      </w:r>
      <w:r w:rsidRPr="00104E98">
        <w:t xml:space="preserve"> having future budgetary implications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Contracts extending beyond one financial year may be entered into by a municipality, but if such contract extends beyond the three years covered in the annual budget, the municipality may enter into such contract only if:</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at least sixty days before the Council meeting at which the contract is to be approved, has made the contract public, with an information statement summarising the municipality’s obligations, and inviting the local community and other interested parties to submit comments or make representations.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solicits the views and recommendations of the National Treasury and Provincial Treasury in respect to such contract, as well as those of the National Department of Provincial and Local Government, and any national department concerned with water, sanitation or electricity, if the contract relates to any of these services.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has taken into account the projected financial obligations in regard to such contract, the impact on tariffs, and the views and comments received from all the foregoing parties.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adopts a resolution determining that the municipality will secure a significant capital investment or derive a significant financial or economic benefit from the contract, and approves the entire contract exactly as it is to be executed.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contract for purposes of this Section shall exclude any contract relating to the incurring of long-term debt by the municipality, employment contracts, contracts for categories of goods as may be prescribed, or contracts where the value of the contract is less than a prescribed value or a prescribed percentage of the annual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lastRenderedPageBreak/>
        <w:t xml:space="preserve">Section 42 Price </w:t>
      </w:r>
      <w:r w:rsidRPr="00A908BD">
        <w:rPr>
          <w:rFonts w:ascii="Arial" w:hAnsi="Arial" w:cs="Arial"/>
        </w:rPr>
        <w:t>increases</w:t>
      </w:r>
      <w:r w:rsidRPr="00104E98">
        <w:t xml:space="preserve"> of bulk resources for provision of municipal services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proposed increase must be submitted to the organ’s executive authority and (where legislation so requires) to any regulatory agency for approval.</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forty days prior to the above submission the National Treasury and organised local government must be invited to submit written comments on the proposed increase.</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executive authority, after taking into account the comments received, must table the price increase in Parliament or the provincial legislature, as the case may be, with a full motivation and certain other prescribed explanatory documentation.</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Unless the Minister of Finance otherwise directs, a price increase must be tabled on or before 15 March to take effect from 1 July of the same year.  If it is tabled after 15 March it may only take effect from 1 July of the following year.</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43 </w:t>
      </w:r>
      <w:r w:rsidRPr="00A908BD">
        <w:rPr>
          <w:rFonts w:ascii="Arial" w:hAnsi="Arial" w:cs="Arial"/>
        </w:rPr>
        <w:t>Applicability</w:t>
      </w:r>
      <w:r w:rsidRPr="00104E98">
        <w:t xml:space="preserve"> of tax and tariff capping on municipalities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promulgated on or before 15 March shall not take effect before 1 July of the same year.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 determination promulgated after 15 March shall not take effect before 1 July of the following year.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shall not be allowed to impair a municipality’s ability to meet any annual or periodic escalations in the payments it must make in respect of any contract legally entered into by a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53 Budget </w:t>
      </w:r>
      <w:r w:rsidRPr="00A908BD">
        <w:rPr>
          <w:rFonts w:ascii="Arial" w:hAnsi="Arial" w:cs="Arial"/>
        </w:rPr>
        <w:t>processes</w:t>
      </w:r>
      <w:r w:rsidRPr="00104E98">
        <w:t xml:space="preserve"> and related matters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general political guidance over the annual budget process and the priorities that guide the preparation of each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annual revision of the IDP, as well as the preparation of the annual budget, and determine how the IDP is to be taken into account or is to be revised for purposes of such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Council approves the annual budget before the start of the financial year to which it relates, and that the municipality’s service delivery and budget implementation plan is approved within twenty-eight days after the approval of the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Ensure that the annual performance agreements for the Municipal Manager and the senior managers of the municipality are linked to measurable performance objectives which are approved with the budget and the service delivery and budget implementation plan.</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must promptly report to the Council and the MEC for Local Government any delay in tabling the annual budget, approving the service delivery and budget implementation plan or signing the annual performance agreements.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The Mayor must further ensure that the service delivery targets and quarterly performance indicators, and the monthly projections of revenues and expenses in the service delivery and budget implementation plan, are made public not later than fourteen days after these matters have been approved; and that the performance agreements of the Municipal Manager and other senior officials are similarly made public not later than fourteen days after their approval.</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68 </w:t>
      </w:r>
      <w:r w:rsidRPr="00A908BD">
        <w:rPr>
          <w:rFonts w:ascii="Arial" w:hAnsi="Arial" w:cs="Arial"/>
        </w:rPr>
        <w:t>Budget</w:t>
      </w:r>
      <w:r w:rsidRPr="00104E98">
        <w:t xml:space="preserve"> preparation</w:t>
      </w:r>
    </w:p>
    <w:p w:rsidR="000F7211" w:rsidRPr="00104E98" w:rsidRDefault="000F7211" w:rsidP="000F7211">
      <w:pPr>
        <w:jc w:val="both"/>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assist the Mayor in performing the assigned budgetary functions and must provide the Mayor with administrative support, operational resources and the information necessary to perform these functions.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69 </w:t>
      </w:r>
      <w:r w:rsidRPr="00A908BD">
        <w:rPr>
          <w:rFonts w:ascii="Arial" w:hAnsi="Arial" w:cs="Arial"/>
        </w:rPr>
        <w:t>Budget</w:t>
      </w:r>
      <w:r w:rsidRPr="00104E98">
        <w:t xml:space="preserve"> implementation</w:t>
      </w:r>
    </w:p>
    <w:p w:rsidR="000F7211" w:rsidRPr="00104E98" w:rsidRDefault="000F7211" w:rsidP="000F7211">
      <w:pPr>
        <w:spacing w:line="360" w:lineRule="auto"/>
        <w:jc w:val="both"/>
        <w:rPr>
          <w:rFonts w:ascii="Arial" w:hAnsi="Arial" w:cs="Arial"/>
        </w:rPr>
      </w:pPr>
    </w:p>
    <w:p w:rsidR="000F7211" w:rsidRPr="00104E98" w:rsidRDefault="000F7211" w:rsidP="000F7211">
      <w:pPr>
        <w:pStyle w:val="BodyText2"/>
      </w:pPr>
      <w:r w:rsidRPr="00104E98">
        <w:t>The Municipal Manager is responsible for implementing the budget, and must take reasonable steps to ensure that: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funds are spent in accordance with the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expenses are reduced if expected revenues are less than projected;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revenues and expenses are properly monitored.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prepare any adjustments budget when such budget is necessary and submit it to the Mayor for consideration and tabling in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submit a draft service delivery and budget implementation plan to the Mayor fourteen days after the annual budget has been approved, and must also within the same period submit drafts of the annual performance agreements to the Mayor.</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70 </w:t>
      </w:r>
      <w:r w:rsidRPr="00A908BD">
        <w:rPr>
          <w:rFonts w:ascii="Arial" w:hAnsi="Arial" w:cs="Arial"/>
        </w:rPr>
        <w:t>Impending</w:t>
      </w:r>
      <w:r w:rsidRPr="00104E98">
        <w:t xml:space="preserve"> shortfalls, overspending and overdrafts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The Municipal Manager must report in writing to the Council any impending shortfalls in the annual revenue budget, as well as any impending overspending, together with the steps taken to prevent or rectify these problems.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71 Monthly budget statements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report must reflect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revenues per source, compared with budgeted revenues;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per vote, compared with budgeted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capital expenditure per vote, compared with budgeted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borrowings, compared with the borrowings envisaged to fund the capital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amount of allocations received, compared with the budgeted amount;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against allocations, but excluding expenses in respect of the equitable share;</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explanations of any material variances between the actual revenues and expenses as indicated above and the projected revenues by source and expenses by vote as set out in the service delivery and budget implementation plan;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remedial or corrective steps to be taken to ensure that the relevant projections remain within the approved or revised budget;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projections of the revenues and expenses for the remainder of the financial year, together with an indication of how and where the original projections have been revised.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report to the National Treasury must be both in electronic format and in a signed written document.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54 Budgetary control </w:t>
      </w:r>
      <w:r w:rsidRPr="00A908BD">
        <w:rPr>
          <w:rFonts w:ascii="Arial" w:hAnsi="Arial" w:cs="Arial"/>
        </w:rPr>
        <w:t>and</w:t>
      </w:r>
      <w:r w:rsidRPr="00104E98">
        <w:t xml:space="preserve"> early identification of financial problems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On receipt of the report from the Municipal Manager, the Mayor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consider the report;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check whether the budget has been implemented in accordance with the service delivery and budget implementation plan;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issue appropriate instructions to the Municipal Manager to ensure that the budget is implemented in accordance with this plan, and that the spending of funds and the collection of revenues proceed in accordance with the approved budget; </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identify any financial problems facing the municipality, as well as any emerging or impending financial problems;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submit to the Council within thirty days of the end of each quarter a report on the implementation of the budget and the financial state of affairs of the municipality.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the municipality faces any serious financial problems, the Mayor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promptly respond to and initiate the remedial or corrective steps proposed by the Municipal Manager, and </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alert the MEC for Local Government and the Council of the municipality to the problems concerned.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Mayor may revise the details of the service delivery and budget implementation plan, but any revisions to the service delivery targets and quarterly performance indicators must be approved by the Council, and be supported by an </w:t>
      </w:r>
      <w:r w:rsidRPr="00104E98">
        <w:rPr>
          <w:rFonts w:ascii="Arial" w:hAnsi="Arial" w:cs="Arial"/>
        </w:rPr>
        <w:lastRenderedPageBreak/>
        <w:t>adjustments budget.  Any changes made to the projections of revenues and expenses as set out in the plan must promptly be made public.</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55 Report to provincial executive if </w:t>
      </w:r>
      <w:r w:rsidRPr="00A908BD">
        <w:rPr>
          <w:rFonts w:ascii="Arial" w:hAnsi="Arial" w:cs="Arial"/>
        </w:rPr>
        <w:t>conditions</w:t>
      </w:r>
      <w:r w:rsidRPr="00104E98">
        <w:t xml:space="preserve"> for provincial intervention exist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72 Mid-year budget </w:t>
      </w:r>
      <w:r w:rsidRPr="00A908BD">
        <w:rPr>
          <w:rFonts w:ascii="Arial" w:hAnsi="Arial" w:cs="Arial"/>
        </w:rPr>
        <w:t>and</w:t>
      </w:r>
      <w:r w:rsidRPr="00104E98">
        <w:t xml:space="preserve"> performance assessment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assess the budgetary performance of the municipality for the first half of the financial year, taking into account all the monthly budget reports for the first six months, the service delivery 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must then submit a report on such assessment to the Mayor, the National Treasury and the Provincial Treasury.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may in such report make recommendations for adjusting the annual budget and for revising the projections of revenues and expenses set out in the service delivery and budget implementation plan.</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In terms of Section 54(1)(f) the Mayor must promptly submit this assessment report to the Council of the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73 Reports on failure to adopt or implement budget-related and other policies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75 </w:t>
      </w:r>
      <w:r w:rsidRPr="00A908BD">
        <w:rPr>
          <w:rFonts w:ascii="Arial" w:hAnsi="Arial" w:cs="Arial"/>
        </w:rPr>
        <w:t>Information</w:t>
      </w:r>
      <w:r w:rsidRPr="00104E98">
        <w:t xml:space="preserve"> to be placed on websites of municipalities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place on the municipality’s official website (inter alia)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and adjustments budgets and all budget-related documents;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budget-related policies;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report;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performance agreements;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service delivery agreements;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long-term borrowing contracts;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quarterly reports submitted to the Council on the implementation of the budget and the financial state of affairs of the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80 </w:t>
      </w:r>
      <w:r w:rsidRPr="00A908BD">
        <w:rPr>
          <w:rFonts w:ascii="Arial" w:hAnsi="Arial" w:cs="Arial"/>
        </w:rPr>
        <w:t>Establishment</w:t>
      </w:r>
      <w:r w:rsidRPr="00104E98">
        <w:t xml:space="preserve"> (of municipal budget and treasury office)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Every municipality must have a budget and treasury office comprising a Chief Financial Officer supported by appointed officials and contracted staff.</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81 Role of chief financial officer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Chief Financial Officer is administratively in charge of the budget and treasury office and must, inter alia, </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assist the Municipal Manager in preparing and implementing the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perform such budgeting, financial reporting and financial management and review duties as are delegated by the Municipal Manager;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account to the Municipal Manager for the performance of all the foregoing responsibilities.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83 </w:t>
      </w:r>
      <w:r w:rsidRPr="00A908BD">
        <w:rPr>
          <w:rFonts w:ascii="Arial" w:hAnsi="Arial" w:cs="Arial"/>
        </w:rPr>
        <w:t>Competency</w:t>
      </w:r>
      <w:r w:rsidRPr="00104E98">
        <w:t xml:space="preserve"> levels of professional financial officials</w:t>
      </w:r>
    </w:p>
    <w:p w:rsidR="000F7211" w:rsidRPr="00104E98" w:rsidRDefault="000F7211" w:rsidP="000F7211">
      <w:pPr>
        <w:pStyle w:val="Header"/>
        <w:tabs>
          <w:tab w:val="left" w:pos="720"/>
        </w:tabs>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senior managers, the Chief Financial Officer and the other financial officials in a municipality must all meet prescribed financial management competency levels.</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sz w:val="22"/>
        </w:rPr>
      </w:pPr>
    </w:p>
    <w:sectPr w:rsidR="000F7211" w:rsidSect="008C69EE">
      <w:headerReference w:type="even" r:id="rId8"/>
      <w:headerReference w:type="default" r:id="rId9"/>
      <w:footerReference w:type="even" r:id="rId10"/>
      <w:footerReference w:type="default" r:id="rId11"/>
      <w:pgSz w:w="12240" w:h="15840"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41" w:rsidRDefault="000B4E41">
      <w:r>
        <w:separator/>
      </w:r>
    </w:p>
  </w:endnote>
  <w:endnote w:type="continuationSeparator" w:id="0">
    <w:p w:rsidR="000B4E41" w:rsidRDefault="000B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end"/>
    </w:r>
  </w:p>
  <w:p w:rsidR="00104E98" w:rsidRDefault="00104E98" w:rsidP="000F72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separate"/>
    </w:r>
    <w:r w:rsidR="00711CC2">
      <w:rPr>
        <w:rStyle w:val="PageNumber"/>
        <w:noProof/>
      </w:rPr>
      <w:t>1</w:t>
    </w:r>
    <w:r>
      <w:rPr>
        <w:rStyle w:val="PageNumber"/>
      </w:rPr>
      <w:fldChar w:fldCharType="end"/>
    </w:r>
  </w:p>
  <w:p w:rsidR="00104E98" w:rsidRDefault="00104E98" w:rsidP="000F7211">
    <w:pPr>
      <w:pStyle w:val="Footer"/>
      <w:ind w:right="360"/>
      <w:rPr>
        <w:rFonts w:ascii="Arial" w:hAnsi="Arial" w:cs="Arial"/>
        <w:b/>
        <w:bCs/>
        <w:lang w:val="en-ZA"/>
      </w:rPr>
    </w:pPr>
  </w:p>
  <w:p w:rsidR="00104E98" w:rsidRDefault="00104E98" w:rsidP="000F7211">
    <w:pPr>
      <w:pStyle w:val="Footer"/>
      <w:ind w:right="360"/>
      <w:rPr>
        <w:rFonts w:ascii="Arial" w:hAnsi="Arial" w:cs="Arial"/>
        <w:b/>
        <w:bCs/>
        <w:lang w:val="en-Z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41" w:rsidRDefault="000B4E41">
      <w:r>
        <w:separator/>
      </w:r>
    </w:p>
  </w:footnote>
  <w:footnote w:type="continuationSeparator" w:id="0">
    <w:p w:rsidR="000B4E41" w:rsidRDefault="000B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pPr>
      <w:pStyle w:val="Header"/>
      <w:framePr w:wrap="around" w:vAnchor="text" w:hAnchor="margin" w:xAlign="center" w:y="1"/>
      <w:rPr>
        <w:rStyle w:val="PageNumber"/>
      </w:rPr>
    </w:pPr>
    <w:r>
      <w:rPr>
        <w:rStyle w:val="PageNumber"/>
      </w:rPr>
      <w:fldChar w:fldCharType="begin"/>
    </w:r>
    <w:r w:rsidR="00104E98">
      <w:rPr>
        <w:rStyle w:val="PageNumber"/>
      </w:rPr>
      <w:instrText xml:space="preserve">PAGE  </w:instrText>
    </w:r>
    <w:r>
      <w:rPr>
        <w:rStyle w:val="PageNumber"/>
      </w:rPr>
      <w:fldChar w:fldCharType="end"/>
    </w:r>
  </w:p>
  <w:p w:rsidR="00104E98" w:rsidRDefault="0010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Pr="00745985" w:rsidRDefault="00104E98" w:rsidP="00520B03">
    <w:pPr>
      <w:pStyle w:val="Header"/>
      <w:jc w:val="center"/>
      <w:rPr>
        <w:rFonts w:ascii="Arial" w:eastAsia="Arial Unicode MS" w:hAnsi="Arial" w:cs="Arial"/>
        <w:sz w:val="36"/>
        <w:szCs w:val="36"/>
      </w:rPr>
    </w:pPr>
    <w:r w:rsidRPr="00745985">
      <w:rPr>
        <w:rFonts w:ascii="Arial" w:eastAsia="Arial Unicode MS" w:hAnsi="Arial" w:cs="Arial"/>
        <w:sz w:val="36"/>
        <w:szCs w:val="36"/>
      </w:rPr>
      <w:t xml:space="preserve">Greater </w:t>
    </w:r>
    <w:smartTag w:uri="urn:schemas-microsoft-com:office:smarttags" w:element="place">
      <w:smartTag w:uri="urn:schemas-microsoft-com:office:smarttags" w:element="PlaceName">
        <w:r w:rsidRPr="00745985">
          <w:rPr>
            <w:rFonts w:ascii="Arial" w:eastAsia="Arial Unicode MS" w:hAnsi="Arial" w:cs="Arial"/>
            <w:sz w:val="36"/>
            <w:szCs w:val="36"/>
          </w:rPr>
          <w:t>Tzaneen</w:t>
        </w:r>
      </w:smartTag>
      <w:r w:rsidRPr="00745985">
        <w:rPr>
          <w:rFonts w:ascii="Arial" w:eastAsia="Arial Unicode MS" w:hAnsi="Arial" w:cs="Arial"/>
          <w:sz w:val="36"/>
          <w:szCs w:val="36"/>
        </w:rPr>
        <w:t xml:space="preserve"> </w:t>
      </w:r>
      <w:smartTag w:uri="urn:schemas-microsoft-com:office:smarttags" w:element="PlaceType">
        <w:r w:rsidRPr="00745985">
          <w:rPr>
            <w:rFonts w:ascii="Arial" w:eastAsia="Arial Unicode MS" w:hAnsi="Arial" w:cs="Arial"/>
            <w:sz w:val="36"/>
            <w:szCs w:val="36"/>
          </w:rPr>
          <w:t>Municipality</w:t>
        </w:r>
      </w:smartTag>
    </w:smartTag>
  </w:p>
  <w:p w:rsidR="00104E98" w:rsidRPr="00745985" w:rsidRDefault="00104E98" w:rsidP="00520B03">
    <w:pPr>
      <w:pStyle w:val="Header"/>
      <w:jc w:val="center"/>
      <w:rPr>
        <w:rFonts w:ascii="Arial" w:eastAsia="Arial Unicode MS" w:hAnsi="Arial" w:cs="Arial"/>
        <w:sz w:val="36"/>
        <w:szCs w:val="36"/>
      </w:rPr>
    </w:pPr>
    <w:r w:rsidRPr="00745985">
      <w:rPr>
        <w:rFonts w:ascii="Arial" w:eastAsia="Arial Unicode MS" w:hAnsi="Arial" w:cs="Arial"/>
        <w:sz w:val="36"/>
        <w:szCs w:val="36"/>
      </w:rPr>
      <w:t>Budget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11E25"/>
    <w:multiLevelType w:val="hybridMultilevel"/>
    <w:tmpl w:val="609E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66014E"/>
    <w:multiLevelType w:val="hybridMultilevel"/>
    <w:tmpl w:val="5150CED4"/>
    <w:lvl w:ilvl="0" w:tplc="123282EE">
      <w:start w:val="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A073B1B"/>
    <w:multiLevelType w:val="hybridMultilevel"/>
    <w:tmpl w:val="FD9CD3CE"/>
    <w:lvl w:ilvl="0" w:tplc="2F763336">
      <w:numFmt w:val="bullet"/>
      <w:lvlText w:val=""/>
      <w:lvlJc w:val="left"/>
      <w:pPr>
        <w:tabs>
          <w:tab w:val="num" w:pos="1080"/>
        </w:tabs>
        <w:ind w:left="108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11"/>
    <w:rsid w:val="00001506"/>
    <w:rsid w:val="00010A77"/>
    <w:rsid w:val="00016DDB"/>
    <w:rsid w:val="000205C2"/>
    <w:rsid w:val="00022460"/>
    <w:rsid w:val="000226B2"/>
    <w:rsid w:val="000254D2"/>
    <w:rsid w:val="00025604"/>
    <w:rsid w:val="000264D8"/>
    <w:rsid w:val="0003149C"/>
    <w:rsid w:val="000320FB"/>
    <w:rsid w:val="00053AB9"/>
    <w:rsid w:val="00053BDB"/>
    <w:rsid w:val="00053D76"/>
    <w:rsid w:val="0005577A"/>
    <w:rsid w:val="00057D6A"/>
    <w:rsid w:val="00073E4C"/>
    <w:rsid w:val="00091169"/>
    <w:rsid w:val="00095403"/>
    <w:rsid w:val="000A1983"/>
    <w:rsid w:val="000B3577"/>
    <w:rsid w:val="000B4E41"/>
    <w:rsid w:val="000B6303"/>
    <w:rsid w:val="000C34AC"/>
    <w:rsid w:val="000C473D"/>
    <w:rsid w:val="000D49E1"/>
    <w:rsid w:val="000E2863"/>
    <w:rsid w:val="000E6060"/>
    <w:rsid w:val="000F0A31"/>
    <w:rsid w:val="000F4095"/>
    <w:rsid w:val="000F5C0C"/>
    <w:rsid w:val="000F7211"/>
    <w:rsid w:val="00103AB4"/>
    <w:rsid w:val="00104E98"/>
    <w:rsid w:val="00106D48"/>
    <w:rsid w:val="00110917"/>
    <w:rsid w:val="00110D7C"/>
    <w:rsid w:val="00113E9B"/>
    <w:rsid w:val="0011577A"/>
    <w:rsid w:val="001367D6"/>
    <w:rsid w:val="00141993"/>
    <w:rsid w:val="00147CCB"/>
    <w:rsid w:val="00150099"/>
    <w:rsid w:val="00151F22"/>
    <w:rsid w:val="00156D29"/>
    <w:rsid w:val="00172182"/>
    <w:rsid w:val="00192A76"/>
    <w:rsid w:val="00196DA3"/>
    <w:rsid w:val="001A0FD1"/>
    <w:rsid w:val="001B6800"/>
    <w:rsid w:val="001B7BE8"/>
    <w:rsid w:val="001D5A0B"/>
    <w:rsid w:val="001E0E2B"/>
    <w:rsid w:val="001F0E81"/>
    <w:rsid w:val="001F13E7"/>
    <w:rsid w:val="001F7CEA"/>
    <w:rsid w:val="00200CA4"/>
    <w:rsid w:val="002055C7"/>
    <w:rsid w:val="00210D9A"/>
    <w:rsid w:val="00211FC9"/>
    <w:rsid w:val="00216CA5"/>
    <w:rsid w:val="00234026"/>
    <w:rsid w:val="002352A6"/>
    <w:rsid w:val="00242EB7"/>
    <w:rsid w:val="00245E17"/>
    <w:rsid w:val="00246700"/>
    <w:rsid w:val="00257A22"/>
    <w:rsid w:val="00260CC8"/>
    <w:rsid w:val="002671F0"/>
    <w:rsid w:val="00280817"/>
    <w:rsid w:val="00282D73"/>
    <w:rsid w:val="002844F2"/>
    <w:rsid w:val="00284F1E"/>
    <w:rsid w:val="00293A33"/>
    <w:rsid w:val="002A414E"/>
    <w:rsid w:val="002A4BA8"/>
    <w:rsid w:val="002B0FE8"/>
    <w:rsid w:val="002B1CA3"/>
    <w:rsid w:val="002C24E0"/>
    <w:rsid w:val="002C41A9"/>
    <w:rsid w:val="002C5CF0"/>
    <w:rsid w:val="002D0B11"/>
    <w:rsid w:val="002D316D"/>
    <w:rsid w:val="002D524B"/>
    <w:rsid w:val="002D64A5"/>
    <w:rsid w:val="002F363B"/>
    <w:rsid w:val="002F3AC1"/>
    <w:rsid w:val="002F727A"/>
    <w:rsid w:val="00322A7A"/>
    <w:rsid w:val="0032351A"/>
    <w:rsid w:val="00326CAF"/>
    <w:rsid w:val="00334880"/>
    <w:rsid w:val="00337C22"/>
    <w:rsid w:val="003414CC"/>
    <w:rsid w:val="00353B71"/>
    <w:rsid w:val="003641AA"/>
    <w:rsid w:val="00364301"/>
    <w:rsid w:val="0036685C"/>
    <w:rsid w:val="0037765E"/>
    <w:rsid w:val="003858F7"/>
    <w:rsid w:val="003868C7"/>
    <w:rsid w:val="003A3BF8"/>
    <w:rsid w:val="003A63C6"/>
    <w:rsid w:val="003B0141"/>
    <w:rsid w:val="003B7BEC"/>
    <w:rsid w:val="003C770C"/>
    <w:rsid w:val="003D00A6"/>
    <w:rsid w:val="003D730A"/>
    <w:rsid w:val="003F4DEB"/>
    <w:rsid w:val="00410874"/>
    <w:rsid w:val="00421E44"/>
    <w:rsid w:val="0042386B"/>
    <w:rsid w:val="00423AA5"/>
    <w:rsid w:val="004259B4"/>
    <w:rsid w:val="00426C65"/>
    <w:rsid w:val="0043757C"/>
    <w:rsid w:val="004407B3"/>
    <w:rsid w:val="00445C35"/>
    <w:rsid w:val="00446A00"/>
    <w:rsid w:val="00454040"/>
    <w:rsid w:val="004554CE"/>
    <w:rsid w:val="00460E7B"/>
    <w:rsid w:val="004635FC"/>
    <w:rsid w:val="004644B0"/>
    <w:rsid w:val="004649F7"/>
    <w:rsid w:val="00466227"/>
    <w:rsid w:val="00471DD8"/>
    <w:rsid w:val="0047351E"/>
    <w:rsid w:val="00476921"/>
    <w:rsid w:val="00477D2E"/>
    <w:rsid w:val="00480299"/>
    <w:rsid w:val="004845EA"/>
    <w:rsid w:val="004851B0"/>
    <w:rsid w:val="004A020A"/>
    <w:rsid w:val="004A2D7E"/>
    <w:rsid w:val="004A71C7"/>
    <w:rsid w:val="004B337D"/>
    <w:rsid w:val="004B7073"/>
    <w:rsid w:val="004C5347"/>
    <w:rsid w:val="004C794F"/>
    <w:rsid w:val="004D6844"/>
    <w:rsid w:val="004E3C52"/>
    <w:rsid w:val="004E43F5"/>
    <w:rsid w:val="00505892"/>
    <w:rsid w:val="00512F77"/>
    <w:rsid w:val="00513CFD"/>
    <w:rsid w:val="005147E1"/>
    <w:rsid w:val="0051668A"/>
    <w:rsid w:val="00520B03"/>
    <w:rsid w:val="00533C64"/>
    <w:rsid w:val="0054166B"/>
    <w:rsid w:val="0054286C"/>
    <w:rsid w:val="005512C4"/>
    <w:rsid w:val="0055723E"/>
    <w:rsid w:val="00570623"/>
    <w:rsid w:val="005715F5"/>
    <w:rsid w:val="005727D3"/>
    <w:rsid w:val="00576142"/>
    <w:rsid w:val="005766DD"/>
    <w:rsid w:val="00577077"/>
    <w:rsid w:val="0059146B"/>
    <w:rsid w:val="005954B1"/>
    <w:rsid w:val="005B690F"/>
    <w:rsid w:val="005C30CD"/>
    <w:rsid w:val="005C45FB"/>
    <w:rsid w:val="005D1024"/>
    <w:rsid w:val="005D57AA"/>
    <w:rsid w:val="005F06C3"/>
    <w:rsid w:val="00602C85"/>
    <w:rsid w:val="006074D7"/>
    <w:rsid w:val="00615349"/>
    <w:rsid w:val="00623A44"/>
    <w:rsid w:val="006428A5"/>
    <w:rsid w:val="0064377C"/>
    <w:rsid w:val="00657430"/>
    <w:rsid w:val="00657E21"/>
    <w:rsid w:val="00663A5E"/>
    <w:rsid w:val="00676A16"/>
    <w:rsid w:val="00677E82"/>
    <w:rsid w:val="00680DF7"/>
    <w:rsid w:val="006919C6"/>
    <w:rsid w:val="006A1AB2"/>
    <w:rsid w:val="006A448E"/>
    <w:rsid w:val="006A45B8"/>
    <w:rsid w:val="006B3EA4"/>
    <w:rsid w:val="006B41DD"/>
    <w:rsid w:val="006C6BCB"/>
    <w:rsid w:val="006C7C80"/>
    <w:rsid w:val="006D41DA"/>
    <w:rsid w:val="006D42CF"/>
    <w:rsid w:val="006D4948"/>
    <w:rsid w:val="006E3FA3"/>
    <w:rsid w:val="006E794E"/>
    <w:rsid w:val="006F6117"/>
    <w:rsid w:val="00703EC8"/>
    <w:rsid w:val="00703FAA"/>
    <w:rsid w:val="007045C0"/>
    <w:rsid w:val="00711CC2"/>
    <w:rsid w:val="00713DFC"/>
    <w:rsid w:val="00716BD3"/>
    <w:rsid w:val="0072295D"/>
    <w:rsid w:val="00742927"/>
    <w:rsid w:val="007561ED"/>
    <w:rsid w:val="00764FA8"/>
    <w:rsid w:val="0077548B"/>
    <w:rsid w:val="00777C8A"/>
    <w:rsid w:val="007846E2"/>
    <w:rsid w:val="007A3590"/>
    <w:rsid w:val="007A5E08"/>
    <w:rsid w:val="007B1DE2"/>
    <w:rsid w:val="007B214A"/>
    <w:rsid w:val="007B71E5"/>
    <w:rsid w:val="007C3B5B"/>
    <w:rsid w:val="007D18A1"/>
    <w:rsid w:val="007E3A9F"/>
    <w:rsid w:val="007F07F8"/>
    <w:rsid w:val="007F10A4"/>
    <w:rsid w:val="007F2653"/>
    <w:rsid w:val="007F6581"/>
    <w:rsid w:val="007F6CF2"/>
    <w:rsid w:val="00802AA8"/>
    <w:rsid w:val="0082726E"/>
    <w:rsid w:val="008358C5"/>
    <w:rsid w:val="008579EE"/>
    <w:rsid w:val="00863A01"/>
    <w:rsid w:val="00863AB4"/>
    <w:rsid w:val="00872067"/>
    <w:rsid w:val="008733CA"/>
    <w:rsid w:val="00875DC0"/>
    <w:rsid w:val="00880BFA"/>
    <w:rsid w:val="0088386A"/>
    <w:rsid w:val="00885368"/>
    <w:rsid w:val="008A735E"/>
    <w:rsid w:val="008B0DEB"/>
    <w:rsid w:val="008B0F3C"/>
    <w:rsid w:val="008B4715"/>
    <w:rsid w:val="008B49FE"/>
    <w:rsid w:val="008B562E"/>
    <w:rsid w:val="008C5922"/>
    <w:rsid w:val="008C69EE"/>
    <w:rsid w:val="008D37D0"/>
    <w:rsid w:val="008D4361"/>
    <w:rsid w:val="008D62BE"/>
    <w:rsid w:val="00902423"/>
    <w:rsid w:val="00906F26"/>
    <w:rsid w:val="00911434"/>
    <w:rsid w:val="00917643"/>
    <w:rsid w:val="00933508"/>
    <w:rsid w:val="00935F3F"/>
    <w:rsid w:val="0093774A"/>
    <w:rsid w:val="00940E26"/>
    <w:rsid w:val="009435A8"/>
    <w:rsid w:val="00980434"/>
    <w:rsid w:val="009817BF"/>
    <w:rsid w:val="00983681"/>
    <w:rsid w:val="0098435D"/>
    <w:rsid w:val="00984F00"/>
    <w:rsid w:val="00990AD2"/>
    <w:rsid w:val="0099724A"/>
    <w:rsid w:val="009A54DC"/>
    <w:rsid w:val="009A5825"/>
    <w:rsid w:val="009C0E8A"/>
    <w:rsid w:val="009C17DC"/>
    <w:rsid w:val="009C1B4D"/>
    <w:rsid w:val="009C4ECA"/>
    <w:rsid w:val="009C6B10"/>
    <w:rsid w:val="009D21E1"/>
    <w:rsid w:val="009D30EE"/>
    <w:rsid w:val="009E1797"/>
    <w:rsid w:val="009E3EFF"/>
    <w:rsid w:val="00A023DE"/>
    <w:rsid w:val="00A12845"/>
    <w:rsid w:val="00A12DAA"/>
    <w:rsid w:val="00A135A6"/>
    <w:rsid w:val="00A13C9B"/>
    <w:rsid w:val="00A15479"/>
    <w:rsid w:val="00A23F92"/>
    <w:rsid w:val="00A25CCC"/>
    <w:rsid w:val="00A34EAB"/>
    <w:rsid w:val="00A43DCB"/>
    <w:rsid w:val="00A45B17"/>
    <w:rsid w:val="00A4617E"/>
    <w:rsid w:val="00A54A31"/>
    <w:rsid w:val="00A56363"/>
    <w:rsid w:val="00A7595C"/>
    <w:rsid w:val="00A77D82"/>
    <w:rsid w:val="00A82537"/>
    <w:rsid w:val="00A842F2"/>
    <w:rsid w:val="00A908BD"/>
    <w:rsid w:val="00A95A4C"/>
    <w:rsid w:val="00A970E4"/>
    <w:rsid w:val="00AB1201"/>
    <w:rsid w:val="00AC0078"/>
    <w:rsid w:val="00AC207B"/>
    <w:rsid w:val="00AD44CB"/>
    <w:rsid w:val="00AD5D23"/>
    <w:rsid w:val="00AD5EDE"/>
    <w:rsid w:val="00AD7F91"/>
    <w:rsid w:val="00AE0663"/>
    <w:rsid w:val="00AE4F10"/>
    <w:rsid w:val="00AF2209"/>
    <w:rsid w:val="00AF7245"/>
    <w:rsid w:val="00B0698F"/>
    <w:rsid w:val="00B14C48"/>
    <w:rsid w:val="00B1725C"/>
    <w:rsid w:val="00B400B5"/>
    <w:rsid w:val="00B41538"/>
    <w:rsid w:val="00B45265"/>
    <w:rsid w:val="00B46C25"/>
    <w:rsid w:val="00B50496"/>
    <w:rsid w:val="00B52261"/>
    <w:rsid w:val="00B5350C"/>
    <w:rsid w:val="00B53F3C"/>
    <w:rsid w:val="00B548E2"/>
    <w:rsid w:val="00B56FC2"/>
    <w:rsid w:val="00B629BE"/>
    <w:rsid w:val="00B64792"/>
    <w:rsid w:val="00B6666C"/>
    <w:rsid w:val="00B766A9"/>
    <w:rsid w:val="00B77100"/>
    <w:rsid w:val="00B81331"/>
    <w:rsid w:val="00B84E4A"/>
    <w:rsid w:val="00B9281D"/>
    <w:rsid w:val="00BA4B20"/>
    <w:rsid w:val="00BA585E"/>
    <w:rsid w:val="00BB0CF5"/>
    <w:rsid w:val="00BB1FF0"/>
    <w:rsid w:val="00BB3B20"/>
    <w:rsid w:val="00BC3803"/>
    <w:rsid w:val="00BC4026"/>
    <w:rsid w:val="00BC4B70"/>
    <w:rsid w:val="00BD03B9"/>
    <w:rsid w:val="00BD0A67"/>
    <w:rsid w:val="00BD4AE6"/>
    <w:rsid w:val="00BD4C52"/>
    <w:rsid w:val="00BF15A5"/>
    <w:rsid w:val="00BF53B1"/>
    <w:rsid w:val="00C06B89"/>
    <w:rsid w:val="00C147E3"/>
    <w:rsid w:val="00C15438"/>
    <w:rsid w:val="00C2119B"/>
    <w:rsid w:val="00C21FD5"/>
    <w:rsid w:val="00C4305C"/>
    <w:rsid w:val="00C441D6"/>
    <w:rsid w:val="00C53B48"/>
    <w:rsid w:val="00C8486C"/>
    <w:rsid w:val="00C84DC0"/>
    <w:rsid w:val="00C87C94"/>
    <w:rsid w:val="00C93F73"/>
    <w:rsid w:val="00C94CBE"/>
    <w:rsid w:val="00CA129B"/>
    <w:rsid w:val="00CA54E8"/>
    <w:rsid w:val="00CA7926"/>
    <w:rsid w:val="00CB0DDC"/>
    <w:rsid w:val="00CB1313"/>
    <w:rsid w:val="00CB2124"/>
    <w:rsid w:val="00CB35FD"/>
    <w:rsid w:val="00CB7ED5"/>
    <w:rsid w:val="00CC2FC8"/>
    <w:rsid w:val="00CD3B68"/>
    <w:rsid w:val="00CF0727"/>
    <w:rsid w:val="00D02E73"/>
    <w:rsid w:val="00D0328E"/>
    <w:rsid w:val="00D13135"/>
    <w:rsid w:val="00D303EE"/>
    <w:rsid w:val="00D30E08"/>
    <w:rsid w:val="00D44529"/>
    <w:rsid w:val="00D45D7F"/>
    <w:rsid w:val="00D46A45"/>
    <w:rsid w:val="00D474F3"/>
    <w:rsid w:val="00D52031"/>
    <w:rsid w:val="00D5508B"/>
    <w:rsid w:val="00D60A63"/>
    <w:rsid w:val="00D60B5C"/>
    <w:rsid w:val="00D6717D"/>
    <w:rsid w:val="00D82785"/>
    <w:rsid w:val="00D83FAD"/>
    <w:rsid w:val="00D8517B"/>
    <w:rsid w:val="00D865F0"/>
    <w:rsid w:val="00D86F4E"/>
    <w:rsid w:val="00D874E3"/>
    <w:rsid w:val="00D90ABF"/>
    <w:rsid w:val="00D963FB"/>
    <w:rsid w:val="00DA2C0F"/>
    <w:rsid w:val="00DA7408"/>
    <w:rsid w:val="00DB2FF0"/>
    <w:rsid w:val="00DB421C"/>
    <w:rsid w:val="00DC000C"/>
    <w:rsid w:val="00DC0DFC"/>
    <w:rsid w:val="00DC37AB"/>
    <w:rsid w:val="00DC541A"/>
    <w:rsid w:val="00DC594A"/>
    <w:rsid w:val="00DD0508"/>
    <w:rsid w:val="00DD484E"/>
    <w:rsid w:val="00DE2A78"/>
    <w:rsid w:val="00DE390E"/>
    <w:rsid w:val="00DE4E5A"/>
    <w:rsid w:val="00DE77F5"/>
    <w:rsid w:val="00DF5A19"/>
    <w:rsid w:val="00E02B50"/>
    <w:rsid w:val="00E13D17"/>
    <w:rsid w:val="00E13D38"/>
    <w:rsid w:val="00E3001E"/>
    <w:rsid w:val="00E3445E"/>
    <w:rsid w:val="00E36371"/>
    <w:rsid w:val="00E36B46"/>
    <w:rsid w:val="00E50C8B"/>
    <w:rsid w:val="00E529F2"/>
    <w:rsid w:val="00E711F9"/>
    <w:rsid w:val="00E75602"/>
    <w:rsid w:val="00E83C56"/>
    <w:rsid w:val="00E92FDB"/>
    <w:rsid w:val="00E94960"/>
    <w:rsid w:val="00EA175D"/>
    <w:rsid w:val="00EA764B"/>
    <w:rsid w:val="00EB2685"/>
    <w:rsid w:val="00EB367F"/>
    <w:rsid w:val="00EB3A1A"/>
    <w:rsid w:val="00EC15CD"/>
    <w:rsid w:val="00EC3ABA"/>
    <w:rsid w:val="00EC4C0D"/>
    <w:rsid w:val="00ED3985"/>
    <w:rsid w:val="00EE2D6B"/>
    <w:rsid w:val="00EE6963"/>
    <w:rsid w:val="00EE6A5D"/>
    <w:rsid w:val="00EE73AE"/>
    <w:rsid w:val="00EF18F8"/>
    <w:rsid w:val="00EF4AC1"/>
    <w:rsid w:val="00EF6CF0"/>
    <w:rsid w:val="00F15695"/>
    <w:rsid w:val="00F17351"/>
    <w:rsid w:val="00F27060"/>
    <w:rsid w:val="00F3000A"/>
    <w:rsid w:val="00F316DB"/>
    <w:rsid w:val="00F32096"/>
    <w:rsid w:val="00F34BBF"/>
    <w:rsid w:val="00F36B26"/>
    <w:rsid w:val="00F417EA"/>
    <w:rsid w:val="00F447C5"/>
    <w:rsid w:val="00F4491C"/>
    <w:rsid w:val="00F6077F"/>
    <w:rsid w:val="00F609EF"/>
    <w:rsid w:val="00F60D6F"/>
    <w:rsid w:val="00F63E7D"/>
    <w:rsid w:val="00F642B3"/>
    <w:rsid w:val="00F80301"/>
    <w:rsid w:val="00F81B70"/>
    <w:rsid w:val="00FA4510"/>
    <w:rsid w:val="00FB074E"/>
    <w:rsid w:val="00FD5C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331BBD0-5C82-4427-90ED-3D27CE67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11"/>
    <w:rPr>
      <w:sz w:val="24"/>
      <w:szCs w:val="24"/>
      <w:lang w:val="en-US" w:eastAsia="en-US"/>
    </w:rPr>
  </w:style>
  <w:style w:type="paragraph" w:styleId="Heading1">
    <w:name w:val="heading 1"/>
    <w:basedOn w:val="Normal"/>
    <w:next w:val="Normal"/>
    <w:link w:val="Heading1Char"/>
    <w:qFormat/>
    <w:rsid w:val="000F7211"/>
    <w:pPr>
      <w:keepNext/>
      <w:spacing w:line="360" w:lineRule="auto"/>
      <w:jc w:val="center"/>
      <w:outlineLvl w:val="0"/>
    </w:pPr>
    <w:rPr>
      <w:rFonts w:ascii="Arial" w:hAnsi="Arial" w:cs="Arial"/>
      <w:u w:val="single"/>
    </w:rPr>
  </w:style>
  <w:style w:type="paragraph" w:styleId="Heading2">
    <w:name w:val="heading 2"/>
    <w:basedOn w:val="Normal"/>
    <w:next w:val="Normal"/>
    <w:qFormat/>
    <w:rsid w:val="000F7211"/>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0F7211"/>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0F7211"/>
    <w:pPr>
      <w:keepNext/>
      <w:spacing w:line="360" w:lineRule="auto"/>
      <w:jc w:val="both"/>
      <w:outlineLvl w:val="3"/>
    </w:pPr>
    <w:rPr>
      <w:rFonts w:ascii="Arial" w:hAnsi="Arial" w:cs="Arial"/>
      <w:u w:val="single"/>
    </w:rPr>
  </w:style>
  <w:style w:type="paragraph" w:styleId="Heading9">
    <w:name w:val="heading 9"/>
    <w:basedOn w:val="Normal"/>
    <w:next w:val="Normal"/>
    <w:qFormat/>
    <w:rsid w:val="000F721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F7211"/>
    <w:pPr>
      <w:spacing w:line="360" w:lineRule="auto"/>
      <w:ind w:left="720"/>
      <w:jc w:val="both"/>
    </w:pPr>
    <w:rPr>
      <w:rFonts w:ascii="Arial" w:hAnsi="Arial" w:cs="Arial"/>
    </w:rPr>
  </w:style>
  <w:style w:type="paragraph" w:styleId="BodyText">
    <w:name w:val="Body Text"/>
    <w:basedOn w:val="Normal"/>
    <w:rsid w:val="000F7211"/>
    <w:pPr>
      <w:spacing w:line="360" w:lineRule="auto"/>
      <w:jc w:val="center"/>
    </w:pPr>
    <w:rPr>
      <w:rFonts w:ascii="Arial" w:hAnsi="Arial" w:cs="Arial"/>
      <w:sz w:val="72"/>
    </w:rPr>
  </w:style>
  <w:style w:type="paragraph" w:styleId="Header">
    <w:name w:val="header"/>
    <w:basedOn w:val="Normal"/>
    <w:rsid w:val="000F7211"/>
    <w:pPr>
      <w:tabs>
        <w:tab w:val="center" w:pos="4320"/>
        <w:tab w:val="right" w:pos="8640"/>
      </w:tabs>
    </w:pPr>
  </w:style>
  <w:style w:type="character" w:styleId="PageNumber">
    <w:name w:val="page number"/>
    <w:basedOn w:val="DefaultParagraphFont"/>
    <w:rsid w:val="000F7211"/>
  </w:style>
  <w:style w:type="paragraph" w:styleId="BodyText2">
    <w:name w:val="Body Text 2"/>
    <w:basedOn w:val="Normal"/>
    <w:rsid w:val="000F7211"/>
    <w:pPr>
      <w:spacing w:line="360" w:lineRule="auto"/>
      <w:jc w:val="both"/>
    </w:pPr>
    <w:rPr>
      <w:rFonts w:ascii="Arial" w:hAnsi="Arial" w:cs="Arial"/>
    </w:rPr>
  </w:style>
  <w:style w:type="paragraph" w:styleId="Footer">
    <w:name w:val="footer"/>
    <w:basedOn w:val="Normal"/>
    <w:rsid w:val="000F7211"/>
    <w:pPr>
      <w:tabs>
        <w:tab w:val="center" w:pos="4153"/>
        <w:tab w:val="right" w:pos="8306"/>
      </w:tabs>
    </w:pPr>
  </w:style>
  <w:style w:type="character" w:customStyle="1" w:styleId="Heading1Char">
    <w:name w:val="Heading 1 Char"/>
    <w:basedOn w:val="DefaultParagraphFont"/>
    <w:link w:val="Heading1"/>
    <w:rsid w:val="000F7211"/>
    <w:rPr>
      <w:rFonts w:ascii="Arial" w:hAnsi="Arial" w:cs="Arial"/>
      <w:sz w:val="24"/>
      <w:szCs w:val="24"/>
      <w:u w:val="single"/>
      <w:lang w:val="en-US" w:eastAsia="en-US" w:bidi="ar-SA"/>
    </w:rPr>
  </w:style>
  <w:style w:type="paragraph" w:styleId="TOC1">
    <w:name w:val="toc 1"/>
    <w:basedOn w:val="Normal"/>
    <w:next w:val="Normal"/>
    <w:autoRedefine/>
    <w:semiHidden/>
    <w:rsid w:val="00104E98"/>
    <w:pPr>
      <w:spacing w:before="360"/>
    </w:pPr>
    <w:rPr>
      <w:rFonts w:ascii="Arial" w:hAnsi="Arial" w:cs="Arial"/>
      <w:b/>
      <w:bCs/>
      <w:caps/>
    </w:rPr>
  </w:style>
  <w:style w:type="paragraph" w:styleId="TOC2">
    <w:name w:val="toc 2"/>
    <w:basedOn w:val="Normal"/>
    <w:next w:val="Normal"/>
    <w:autoRedefine/>
    <w:semiHidden/>
    <w:rsid w:val="00104E98"/>
    <w:pPr>
      <w:spacing w:before="240"/>
    </w:pPr>
    <w:rPr>
      <w:b/>
      <w:bCs/>
      <w:sz w:val="20"/>
      <w:szCs w:val="20"/>
    </w:rPr>
  </w:style>
  <w:style w:type="paragraph" w:styleId="TOC3">
    <w:name w:val="toc 3"/>
    <w:basedOn w:val="Normal"/>
    <w:next w:val="Normal"/>
    <w:autoRedefine/>
    <w:semiHidden/>
    <w:rsid w:val="00104E98"/>
    <w:pPr>
      <w:ind w:left="240"/>
    </w:pPr>
    <w:rPr>
      <w:sz w:val="20"/>
      <w:szCs w:val="20"/>
    </w:rPr>
  </w:style>
  <w:style w:type="paragraph" w:styleId="TOC4">
    <w:name w:val="toc 4"/>
    <w:basedOn w:val="Normal"/>
    <w:next w:val="Normal"/>
    <w:autoRedefine/>
    <w:semiHidden/>
    <w:rsid w:val="00104E98"/>
    <w:pPr>
      <w:ind w:left="480"/>
    </w:pPr>
    <w:rPr>
      <w:sz w:val="20"/>
      <w:szCs w:val="20"/>
    </w:rPr>
  </w:style>
  <w:style w:type="paragraph" w:styleId="TOC5">
    <w:name w:val="toc 5"/>
    <w:basedOn w:val="Normal"/>
    <w:next w:val="Normal"/>
    <w:autoRedefine/>
    <w:semiHidden/>
    <w:rsid w:val="00104E98"/>
    <w:pPr>
      <w:ind w:left="720"/>
    </w:pPr>
    <w:rPr>
      <w:sz w:val="20"/>
      <w:szCs w:val="20"/>
    </w:rPr>
  </w:style>
  <w:style w:type="paragraph" w:styleId="TOC6">
    <w:name w:val="toc 6"/>
    <w:basedOn w:val="Normal"/>
    <w:next w:val="Normal"/>
    <w:autoRedefine/>
    <w:semiHidden/>
    <w:rsid w:val="00104E98"/>
    <w:pPr>
      <w:ind w:left="960"/>
    </w:pPr>
    <w:rPr>
      <w:sz w:val="20"/>
      <w:szCs w:val="20"/>
    </w:rPr>
  </w:style>
  <w:style w:type="paragraph" w:styleId="TOC7">
    <w:name w:val="toc 7"/>
    <w:basedOn w:val="Normal"/>
    <w:next w:val="Normal"/>
    <w:autoRedefine/>
    <w:semiHidden/>
    <w:rsid w:val="00104E98"/>
    <w:pPr>
      <w:ind w:left="1200"/>
    </w:pPr>
    <w:rPr>
      <w:sz w:val="20"/>
      <w:szCs w:val="20"/>
    </w:rPr>
  </w:style>
  <w:style w:type="paragraph" w:styleId="TOC8">
    <w:name w:val="toc 8"/>
    <w:basedOn w:val="Normal"/>
    <w:next w:val="Normal"/>
    <w:autoRedefine/>
    <w:semiHidden/>
    <w:rsid w:val="00104E98"/>
    <w:pPr>
      <w:ind w:left="1440"/>
    </w:pPr>
    <w:rPr>
      <w:sz w:val="20"/>
      <w:szCs w:val="20"/>
    </w:rPr>
  </w:style>
  <w:style w:type="paragraph" w:styleId="TOC9">
    <w:name w:val="toc 9"/>
    <w:basedOn w:val="Normal"/>
    <w:next w:val="Normal"/>
    <w:autoRedefine/>
    <w:semiHidden/>
    <w:rsid w:val="00104E98"/>
    <w:pPr>
      <w:ind w:left="1680"/>
    </w:pPr>
    <w:rPr>
      <w:sz w:val="20"/>
      <w:szCs w:val="20"/>
    </w:rPr>
  </w:style>
  <w:style w:type="character" w:styleId="Hyperlink">
    <w:name w:val="Hyperlink"/>
    <w:basedOn w:val="DefaultParagraphFont"/>
    <w:rsid w:val="00104E98"/>
    <w:rPr>
      <w:color w:val="0000FF"/>
      <w:u w:val="single"/>
    </w:rPr>
  </w:style>
  <w:style w:type="paragraph" w:styleId="BalloonText">
    <w:name w:val="Balloon Text"/>
    <w:basedOn w:val="Normal"/>
    <w:link w:val="BalloonTextChar"/>
    <w:rsid w:val="00CB7ED5"/>
    <w:rPr>
      <w:rFonts w:ascii="Tahoma" w:hAnsi="Tahoma" w:cs="Tahoma"/>
      <w:sz w:val="16"/>
      <w:szCs w:val="16"/>
    </w:rPr>
  </w:style>
  <w:style w:type="character" w:customStyle="1" w:styleId="BalloonTextChar">
    <w:name w:val="Balloon Text Char"/>
    <w:basedOn w:val="DefaultParagraphFont"/>
    <w:link w:val="BalloonText"/>
    <w:rsid w:val="00CB7ED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GREATER TZANEEN MUNICIPALITY</vt:lpstr>
    </vt:vector>
  </TitlesOfParts>
  <Company>Microsoft Corporation</Company>
  <LinksUpToDate>false</LinksUpToDate>
  <CharactersWithSpaces>38092</CharactersWithSpaces>
  <SharedDoc>false</SharedDoc>
  <HLinks>
    <vt:vector size="36" baseType="variant">
      <vt:variant>
        <vt:i4>1769527</vt:i4>
      </vt:variant>
      <vt:variant>
        <vt:i4>32</vt:i4>
      </vt:variant>
      <vt:variant>
        <vt:i4>0</vt:i4>
      </vt:variant>
      <vt:variant>
        <vt:i4>5</vt:i4>
      </vt:variant>
      <vt:variant>
        <vt:lpwstr/>
      </vt:variant>
      <vt:variant>
        <vt:lpwstr>_Toc191130445</vt:lpwstr>
      </vt:variant>
      <vt:variant>
        <vt:i4>1769527</vt:i4>
      </vt:variant>
      <vt:variant>
        <vt:i4>26</vt:i4>
      </vt:variant>
      <vt:variant>
        <vt:i4>0</vt:i4>
      </vt:variant>
      <vt:variant>
        <vt:i4>5</vt:i4>
      </vt:variant>
      <vt:variant>
        <vt:lpwstr/>
      </vt:variant>
      <vt:variant>
        <vt:lpwstr>_Toc191130444</vt:lpwstr>
      </vt:variant>
      <vt:variant>
        <vt:i4>1769527</vt:i4>
      </vt:variant>
      <vt:variant>
        <vt:i4>20</vt:i4>
      </vt:variant>
      <vt:variant>
        <vt:i4>0</vt:i4>
      </vt:variant>
      <vt:variant>
        <vt:i4>5</vt:i4>
      </vt:variant>
      <vt:variant>
        <vt:lpwstr/>
      </vt:variant>
      <vt:variant>
        <vt:lpwstr>_Toc191130443</vt:lpwstr>
      </vt:variant>
      <vt:variant>
        <vt:i4>1769527</vt:i4>
      </vt:variant>
      <vt:variant>
        <vt:i4>14</vt:i4>
      </vt:variant>
      <vt:variant>
        <vt:i4>0</vt:i4>
      </vt:variant>
      <vt:variant>
        <vt:i4>5</vt:i4>
      </vt:variant>
      <vt:variant>
        <vt:lpwstr/>
      </vt:variant>
      <vt:variant>
        <vt:lpwstr>_Toc191130442</vt:lpwstr>
      </vt:variant>
      <vt:variant>
        <vt:i4>1769527</vt:i4>
      </vt:variant>
      <vt:variant>
        <vt:i4>8</vt:i4>
      </vt:variant>
      <vt:variant>
        <vt:i4>0</vt:i4>
      </vt:variant>
      <vt:variant>
        <vt:i4>5</vt:i4>
      </vt:variant>
      <vt:variant>
        <vt:lpwstr/>
      </vt:variant>
      <vt:variant>
        <vt:lpwstr>_Toc191130441</vt:lpwstr>
      </vt:variant>
      <vt:variant>
        <vt:i4>1769527</vt:i4>
      </vt:variant>
      <vt:variant>
        <vt:i4>2</vt:i4>
      </vt:variant>
      <vt:variant>
        <vt:i4>0</vt:i4>
      </vt:variant>
      <vt:variant>
        <vt:i4>5</vt:i4>
      </vt:variant>
      <vt:variant>
        <vt:lpwstr/>
      </vt:variant>
      <vt:variant>
        <vt:lpwstr>_Toc191130440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TZANEEN MUNICIPALITY</dc:title>
  <dc:creator>martin</dc:creator>
  <cp:lastModifiedBy>Johan Biewenga</cp:lastModifiedBy>
  <cp:revision>2</cp:revision>
  <cp:lastPrinted>2008-05-06T05:56:00Z</cp:lastPrinted>
  <dcterms:created xsi:type="dcterms:W3CDTF">2017-02-13T13:37:00Z</dcterms:created>
  <dcterms:modified xsi:type="dcterms:W3CDTF">2017-02-13T13:37:00Z</dcterms:modified>
</cp:coreProperties>
</file>