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A1C4" w14:textId="7553CB7C" w:rsidR="00AD76AC" w:rsidRPr="00CC00EA" w:rsidRDefault="00AD76AC" w:rsidP="00C601CF">
      <w:pPr>
        <w:spacing w:after="0" w:line="360" w:lineRule="auto"/>
        <w:ind w:hanging="851"/>
        <w:jc w:val="both"/>
        <w:rPr>
          <w:rFonts w:ascii="Arial" w:eastAsia="Times New Roman" w:hAnsi="Arial" w:cs="Arial"/>
          <w:b/>
          <w:bCs/>
          <w:sz w:val="24"/>
          <w:szCs w:val="24"/>
          <w:lang w:val="en-US"/>
        </w:rPr>
      </w:pPr>
      <w:r w:rsidRPr="00AD76AC">
        <w:rPr>
          <w:rFonts w:ascii="Arial" w:eastAsia="Times New Roman" w:hAnsi="Arial" w:cs="Times New Roman"/>
          <w:b/>
          <w:sz w:val="24"/>
          <w:szCs w:val="24"/>
          <w:lang w:val="en-US"/>
        </w:rPr>
        <w:tab/>
      </w:r>
      <w:r w:rsidR="00E546E8" w:rsidRPr="00CC00EA">
        <w:rPr>
          <w:rFonts w:ascii="Arial" w:eastAsia="Times New Roman" w:hAnsi="Arial" w:cs="Arial"/>
          <w:b/>
          <w:bCs/>
          <w:sz w:val="24"/>
          <w:szCs w:val="24"/>
          <w:lang w:val="en-US"/>
        </w:rPr>
        <w:t>DRAFT</w:t>
      </w:r>
      <w:r w:rsidR="00295020" w:rsidRPr="00CC00EA">
        <w:rPr>
          <w:rFonts w:ascii="Arial" w:eastAsia="Times New Roman" w:hAnsi="Arial" w:cs="Arial"/>
          <w:b/>
          <w:bCs/>
          <w:sz w:val="24"/>
          <w:szCs w:val="24"/>
          <w:lang w:val="en-US"/>
        </w:rPr>
        <w:t xml:space="preserve"> </w:t>
      </w:r>
      <w:r w:rsidR="00FD5BFD" w:rsidRPr="00CC00EA">
        <w:rPr>
          <w:rFonts w:ascii="Arial" w:eastAsia="Times New Roman" w:hAnsi="Arial" w:cs="Arial"/>
          <w:b/>
          <w:bCs/>
          <w:sz w:val="24"/>
          <w:szCs w:val="24"/>
          <w:lang w:val="en-US"/>
        </w:rPr>
        <w:t>ANNUAL BUDGET 202</w:t>
      </w:r>
      <w:r w:rsidR="00B94713" w:rsidRPr="00CC00EA">
        <w:rPr>
          <w:rFonts w:ascii="Arial" w:eastAsia="Times New Roman" w:hAnsi="Arial" w:cs="Arial"/>
          <w:b/>
          <w:bCs/>
          <w:sz w:val="24"/>
          <w:szCs w:val="24"/>
          <w:lang w:val="en-US"/>
        </w:rPr>
        <w:t>4</w:t>
      </w:r>
      <w:r w:rsidR="00FD5BFD" w:rsidRPr="00CC00EA">
        <w:rPr>
          <w:rFonts w:ascii="Arial" w:eastAsia="Times New Roman" w:hAnsi="Arial" w:cs="Arial"/>
          <w:b/>
          <w:bCs/>
          <w:sz w:val="24"/>
          <w:szCs w:val="24"/>
          <w:lang w:val="en-US"/>
        </w:rPr>
        <w:t>/202</w:t>
      </w:r>
      <w:r w:rsidR="00B94713" w:rsidRPr="00CC00EA">
        <w:rPr>
          <w:rFonts w:ascii="Arial" w:eastAsia="Times New Roman" w:hAnsi="Arial" w:cs="Arial"/>
          <w:b/>
          <w:bCs/>
          <w:sz w:val="24"/>
          <w:szCs w:val="24"/>
          <w:lang w:val="en-US"/>
        </w:rPr>
        <w:t>5</w:t>
      </w:r>
      <w:r w:rsidR="00FD5BFD" w:rsidRPr="00CC00EA">
        <w:rPr>
          <w:rFonts w:ascii="Arial" w:eastAsia="Times New Roman" w:hAnsi="Arial" w:cs="Arial"/>
          <w:b/>
          <w:bCs/>
          <w:sz w:val="24"/>
          <w:szCs w:val="24"/>
          <w:lang w:val="en-US"/>
        </w:rPr>
        <w:t xml:space="preserve"> FINANCIAL YEAR </w:t>
      </w:r>
    </w:p>
    <w:p w14:paraId="59B68EB4" w14:textId="184AA68B" w:rsidR="00AD76AC" w:rsidRPr="00CC00EA" w:rsidRDefault="00FD5BFD" w:rsidP="00C601CF">
      <w:pPr>
        <w:spacing w:after="0" w:line="240" w:lineRule="auto"/>
        <w:ind w:hanging="993"/>
        <w:rPr>
          <w:rFonts w:ascii="Arial" w:eastAsia="Times New Roman" w:hAnsi="Arial" w:cs="Times New Roman"/>
          <w:b/>
          <w:sz w:val="24"/>
          <w:szCs w:val="24"/>
          <w:lang w:val="en-US"/>
        </w:rPr>
      </w:pPr>
      <w:r w:rsidRPr="00CC00EA">
        <w:rPr>
          <w:rFonts w:ascii="Arial" w:eastAsia="Times New Roman" w:hAnsi="Arial" w:cs="Times New Roman"/>
          <w:b/>
          <w:sz w:val="24"/>
          <w:szCs w:val="24"/>
          <w:lang w:val="en-US"/>
        </w:rPr>
        <w:tab/>
        <w:t>(EC 202</w:t>
      </w:r>
      <w:r w:rsidR="000D0595" w:rsidRPr="00CC00EA">
        <w:rPr>
          <w:rFonts w:ascii="Arial" w:eastAsia="Times New Roman" w:hAnsi="Arial" w:cs="Times New Roman"/>
          <w:b/>
          <w:sz w:val="24"/>
          <w:szCs w:val="24"/>
          <w:lang w:val="en-US"/>
        </w:rPr>
        <w:t>4</w:t>
      </w:r>
      <w:r w:rsidR="00295020" w:rsidRPr="00CC00EA">
        <w:rPr>
          <w:rFonts w:ascii="Arial" w:eastAsia="Times New Roman" w:hAnsi="Arial" w:cs="Times New Roman"/>
          <w:b/>
          <w:sz w:val="24"/>
          <w:szCs w:val="24"/>
          <w:lang w:val="en-US"/>
        </w:rPr>
        <w:t xml:space="preserve"> </w:t>
      </w:r>
      <w:r w:rsidR="00935438" w:rsidRPr="00CC00EA">
        <w:rPr>
          <w:rFonts w:ascii="Arial" w:eastAsia="Times New Roman" w:hAnsi="Arial" w:cs="Times New Roman"/>
          <w:b/>
          <w:sz w:val="24"/>
          <w:szCs w:val="24"/>
          <w:lang w:val="en-US"/>
        </w:rPr>
        <w:t>0</w:t>
      </w:r>
      <w:r w:rsidR="00B94713" w:rsidRPr="00CC00EA">
        <w:rPr>
          <w:rFonts w:ascii="Arial" w:eastAsia="Times New Roman" w:hAnsi="Arial" w:cs="Times New Roman"/>
          <w:b/>
          <w:sz w:val="24"/>
          <w:szCs w:val="24"/>
          <w:lang w:val="en-US"/>
        </w:rPr>
        <w:t>3</w:t>
      </w:r>
      <w:r w:rsidR="00295020" w:rsidRPr="00CC00EA">
        <w:rPr>
          <w:rFonts w:ascii="Arial" w:eastAsia="Times New Roman" w:hAnsi="Arial" w:cs="Times New Roman"/>
          <w:b/>
          <w:sz w:val="24"/>
          <w:szCs w:val="24"/>
          <w:lang w:val="en-US"/>
        </w:rPr>
        <w:t xml:space="preserve"> </w:t>
      </w:r>
      <w:r w:rsidR="00935438" w:rsidRPr="00CC00EA">
        <w:rPr>
          <w:rFonts w:ascii="Arial" w:eastAsia="Times New Roman" w:hAnsi="Arial" w:cs="Times New Roman"/>
          <w:b/>
          <w:sz w:val="24"/>
          <w:szCs w:val="24"/>
          <w:lang w:val="en-US"/>
        </w:rPr>
        <w:t>1</w:t>
      </w:r>
      <w:r w:rsidR="00B94713" w:rsidRPr="00CC00EA">
        <w:rPr>
          <w:rFonts w:ascii="Arial" w:eastAsia="Times New Roman" w:hAnsi="Arial" w:cs="Times New Roman"/>
          <w:b/>
          <w:sz w:val="24"/>
          <w:szCs w:val="24"/>
          <w:lang w:val="en-US"/>
        </w:rPr>
        <w:t>8</w:t>
      </w:r>
      <w:r w:rsidRPr="00CC00EA">
        <w:rPr>
          <w:rFonts w:ascii="Arial" w:eastAsia="Times New Roman" w:hAnsi="Arial" w:cs="Times New Roman"/>
          <w:b/>
          <w:sz w:val="24"/>
          <w:szCs w:val="24"/>
          <w:lang w:val="en-US"/>
        </w:rPr>
        <w:t>, C 202</w:t>
      </w:r>
      <w:r w:rsidR="00B94713" w:rsidRPr="00CC00EA">
        <w:rPr>
          <w:rFonts w:ascii="Arial" w:eastAsia="Times New Roman" w:hAnsi="Arial" w:cs="Times New Roman"/>
          <w:b/>
          <w:sz w:val="24"/>
          <w:szCs w:val="24"/>
          <w:lang w:val="en-US"/>
        </w:rPr>
        <w:t>4</w:t>
      </w:r>
      <w:r w:rsidR="00295020" w:rsidRPr="00CC00EA">
        <w:rPr>
          <w:rFonts w:ascii="Arial" w:eastAsia="Times New Roman" w:hAnsi="Arial" w:cs="Times New Roman"/>
          <w:b/>
          <w:sz w:val="24"/>
          <w:szCs w:val="24"/>
          <w:lang w:val="en-US"/>
        </w:rPr>
        <w:t xml:space="preserve"> 0</w:t>
      </w:r>
      <w:r w:rsidR="00B94713" w:rsidRPr="00CC00EA">
        <w:rPr>
          <w:rFonts w:ascii="Arial" w:eastAsia="Times New Roman" w:hAnsi="Arial" w:cs="Times New Roman"/>
          <w:b/>
          <w:sz w:val="24"/>
          <w:szCs w:val="24"/>
          <w:lang w:val="en-US"/>
        </w:rPr>
        <w:t>3</w:t>
      </w:r>
      <w:r w:rsidR="00295020" w:rsidRPr="00CC00EA">
        <w:rPr>
          <w:rFonts w:ascii="Arial" w:eastAsia="Times New Roman" w:hAnsi="Arial" w:cs="Times New Roman"/>
          <w:b/>
          <w:sz w:val="24"/>
          <w:szCs w:val="24"/>
          <w:lang w:val="en-US"/>
        </w:rPr>
        <w:t xml:space="preserve"> </w:t>
      </w:r>
      <w:r w:rsidR="00935438" w:rsidRPr="00CC00EA">
        <w:rPr>
          <w:rFonts w:ascii="Arial" w:eastAsia="Times New Roman" w:hAnsi="Arial" w:cs="Times New Roman"/>
          <w:b/>
          <w:sz w:val="24"/>
          <w:szCs w:val="24"/>
          <w:lang w:val="en-US"/>
        </w:rPr>
        <w:t>2</w:t>
      </w:r>
      <w:r w:rsidR="00B94713" w:rsidRPr="00CC00EA">
        <w:rPr>
          <w:rFonts w:ascii="Arial" w:eastAsia="Times New Roman" w:hAnsi="Arial" w:cs="Times New Roman"/>
          <w:b/>
          <w:sz w:val="24"/>
          <w:szCs w:val="24"/>
          <w:lang w:val="en-US"/>
        </w:rPr>
        <w:t>7</w:t>
      </w:r>
      <w:r w:rsidR="00AD76AC" w:rsidRPr="00CC00EA">
        <w:rPr>
          <w:rFonts w:ascii="Arial" w:eastAsia="Times New Roman" w:hAnsi="Arial" w:cs="Times New Roman"/>
          <w:b/>
          <w:sz w:val="24"/>
          <w:szCs w:val="24"/>
          <w:lang w:val="en-US"/>
        </w:rPr>
        <w:t>)</w:t>
      </w:r>
      <w:r w:rsidR="00AD76AC" w:rsidRPr="00CC00EA">
        <w:rPr>
          <w:rFonts w:ascii="Arial" w:eastAsia="Times New Roman" w:hAnsi="Arial" w:cs="Times New Roman"/>
          <w:b/>
          <w:sz w:val="24"/>
          <w:szCs w:val="24"/>
          <w:lang w:val="en-US"/>
        </w:rPr>
        <w:tab/>
      </w:r>
      <w:r w:rsidR="00AD76AC" w:rsidRPr="00CC00EA">
        <w:rPr>
          <w:rFonts w:ascii="Arial" w:eastAsia="Times New Roman" w:hAnsi="Arial" w:cs="Times New Roman"/>
          <w:b/>
          <w:sz w:val="24"/>
          <w:szCs w:val="24"/>
          <w:lang w:val="en-US"/>
        </w:rPr>
        <w:tab/>
      </w:r>
      <w:r w:rsidR="00AD76AC" w:rsidRPr="00CC00EA">
        <w:rPr>
          <w:rFonts w:ascii="Arial" w:eastAsia="Times New Roman" w:hAnsi="Arial" w:cs="Times New Roman"/>
          <w:b/>
          <w:sz w:val="24"/>
          <w:szCs w:val="24"/>
          <w:lang w:val="en-US"/>
        </w:rPr>
        <w:tab/>
        <w:t xml:space="preserve">                    </w:t>
      </w:r>
      <w:r w:rsidR="00AD76AC" w:rsidRPr="00CC00EA">
        <w:rPr>
          <w:rFonts w:ascii="Arial" w:eastAsia="Times New Roman" w:hAnsi="Arial" w:cs="Times New Roman"/>
          <w:b/>
          <w:sz w:val="24"/>
          <w:szCs w:val="24"/>
          <w:lang w:val="en-US"/>
        </w:rPr>
        <w:tab/>
      </w:r>
      <w:r w:rsidR="00AD76AC" w:rsidRPr="00CC00EA">
        <w:rPr>
          <w:rFonts w:ascii="Arial" w:eastAsia="Times New Roman" w:hAnsi="Arial" w:cs="Times New Roman"/>
          <w:b/>
          <w:sz w:val="24"/>
          <w:szCs w:val="24"/>
          <w:lang w:val="en-US"/>
        </w:rPr>
        <w:tab/>
        <w:t xml:space="preserve">       (5/1/1)</w:t>
      </w:r>
    </w:p>
    <w:p w14:paraId="4B8D7991" w14:textId="77777777" w:rsidR="00AD76AC" w:rsidRPr="00CC00EA" w:rsidRDefault="00AD76AC" w:rsidP="00C601CF">
      <w:pPr>
        <w:pBdr>
          <w:bottom w:val="single" w:sz="4" w:space="1" w:color="auto"/>
        </w:pBdr>
        <w:spacing w:after="0" w:line="240" w:lineRule="auto"/>
        <w:rPr>
          <w:rFonts w:ascii="Arial" w:eastAsia="Times New Roman" w:hAnsi="Arial" w:cs="Times New Roman"/>
          <w:sz w:val="24"/>
          <w:szCs w:val="20"/>
          <w:lang w:val="en-US"/>
        </w:rPr>
      </w:pPr>
    </w:p>
    <w:p w14:paraId="0D7D7D61" w14:textId="77777777" w:rsidR="00AD76AC" w:rsidRPr="00CC00EA" w:rsidRDefault="00AD76AC" w:rsidP="00C601CF">
      <w:pPr>
        <w:spacing w:after="0" w:line="240" w:lineRule="auto"/>
        <w:rPr>
          <w:rFonts w:ascii="Arial" w:eastAsia="Times New Roman" w:hAnsi="Arial" w:cs="Times New Roman"/>
          <w:sz w:val="24"/>
          <w:szCs w:val="24"/>
          <w:lang w:val="en-US"/>
        </w:rPr>
      </w:pPr>
      <w:r w:rsidRPr="00CC00EA">
        <w:rPr>
          <w:rFonts w:ascii="Arial" w:eastAsia="Times New Roman" w:hAnsi="Arial" w:cs="Times New Roman"/>
          <w:sz w:val="24"/>
          <w:szCs w:val="24"/>
          <w:lang w:val="en-US"/>
        </w:rPr>
        <w:tab/>
      </w:r>
      <w:r w:rsidRPr="00CC00EA">
        <w:rPr>
          <w:rFonts w:ascii="Arial" w:eastAsia="Times New Roman" w:hAnsi="Arial" w:cs="Times New Roman"/>
          <w:sz w:val="24"/>
          <w:szCs w:val="24"/>
          <w:lang w:val="en-US"/>
        </w:rPr>
        <w:tab/>
      </w:r>
    </w:p>
    <w:p w14:paraId="223FB394" w14:textId="273D7B3C" w:rsidR="00AD76AC" w:rsidRPr="00CC00EA" w:rsidRDefault="00AD76AC" w:rsidP="00C601CF">
      <w:pPr>
        <w:tabs>
          <w:tab w:val="left" w:pos="1260"/>
        </w:tabs>
        <w:spacing w:after="0" w:line="240" w:lineRule="auto"/>
        <w:rPr>
          <w:rFonts w:ascii="Arial" w:eastAsia="Times New Roman" w:hAnsi="Arial" w:cs="Arial"/>
          <w:b/>
          <w:sz w:val="24"/>
          <w:szCs w:val="24"/>
          <w:u w:val="single"/>
          <w:lang w:val="en-US"/>
        </w:rPr>
      </w:pPr>
      <w:r w:rsidRPr="00CC00EA">
        <w:rPr>
          <w:rFonts w:ascii="Arial" w:eastAsia="Times New Roman" w:hAnsi="Arial" w:cs="Arial"/>
          <w:b/>
          <w:sz w:val="24"/>
          <w:szCs w:val="24"/>
          <w:u w:val="single"/>
          <w:lang w:val="en-US"/>
        </w:rPr>
        <w:t>REPORT OF THE DEPARTMENT OF THE CHIEF FINANCIAL OFFICER</w:t>
      </w:r>
      <w:r w:rsidRPr="00CC00EA">
        <w:rPr>
          <w:rFonts w:ascii="Arial" w:eastAsia="Times New Roman" w:hAnsi="Arial" w:cs="Arial"/>
          <w:sz w:val="24"/>
          <w:szCs w:val="24"/>
          <w:u w:val="single"/>
          <w:lang w:val="en-US"/>
        </w:rPr>
        <w:t>,</w:t>
      </w:r>
      <w:r w:rsidRPr="00CC00EA">
        <w:rPr>
          <w:rFonts w:ascii="Arial" w:eastAsia="Times New Roman" w:hAnsi="Arial" w:cs="Arial"/>
          <w:b/>
          <w:sz w:val="24"/>
          <w:szCs w:val="24"/>
          <w:u w:val="single"/>
          <w:lang w:val="en-US"/>
        </w:rPr>
        <w:t xml:space="preserve"> M</w:t>
      </w:r>
      <w:r w:rsidR="00E91082" w:rsidRPr="00CC00EA">
        <w:rPr>
          <w:rFonts w:ascii="Arial" w:eastAsia="Times New Roman" w:hAnsi="Arial" w:cs="Arial"/>
          <w:b/>
          <w:sz w:val="24"/>
          <w:szCs w:val="24"/>
          <w:u w:val="single"/>
          <w:lang w:val="en-US"/>
        </w:rPr>
        <w:t>r</w:t>
      </w:r>
      <w:r w:rsidRPr="00CC00EA">
        <w:rPr>
          <w:rFonts w:ascii="Arial" w:eastAsia="Times New Roman" w:hAnsi="Arial" w:cs="Arial"/>
          <w:b/>
          <w:sz w:val="24"/>
          <w:szCs w:val="24"/>
          <w:u w:val="single"/>
          <w:lang w:val="en-US"/>
        </w:rPr>
        <w:t xml:space="preserve">. </w:t>
      </w:r>
      <w:r w:rsidR="00A0236C" w:rsidRPr="00CC00EA">
        <w:rPr>
          <w:rFonts w:ascii="Arial" w:eastAsia="Times New Roman" w:hAnsi="Arial" w:cs="Arial"/>
          <w:b/>
          <w:sz w:val="24"/>
          <w:szCs w:val="24"/>
          <w:u w:val="single"/>
          <w:lang w:val="en-US"/>
        </w:rPr>
        <w:t>C.M MAETA</w:t>
      </w:r>
    </w:p>
    <w:p w14:paraId="00D8F73B" w14:textId="77777777" w:rsidR="00AD76AC" w:rsidRPr="00CC00EA" w:rsidRDefault="00AD76AC" w:rsidP="00C601CF">
      <w:pPr>
        <w:tabs>
          <w:tab w:val="left" w:pos="1260"/>
        </w:tabs>
        <w:spacing w:after="0" w:line="240" w:lineRule="auto"/>
        <w:rPr>
          <w:rFonts w:ascii="Arial" w:eastAsia="Times New Roman" w:hAnsi="Arial" w:cs="Arial"/>
          <w:b/>
          <w:sz w:val="24"/>
          <w:szCs w:val="24"/>
          <w:u w:val="single"/>
          <w:lang w:val="en-US"/>
        </w:rPr>
      </w:pPr>
    </w:p>
    <w:p w14:paraId="1E914A55" w14:textId="77777777" w:rsidR="00AD76AC" w:rsidRPr="00CC00EA" w:rsidRDefault="00AD76AC" w:rsidP="00C601CF">
      <w:pPr>
        <w:spacing w:after="0" w:line="240" w:lineRule="auto"/>
        <w:jc w:val="both"/>
        <w:rPr>
          <w:rFonts w:ascii="Arial" w:eastAsia="Times New Roman" w:hAnsi="Arial" w:cs="Arial"/>
          <w:b/>
          <w:bCs/>
          <w:sz w:val="24"/>
          <w:szCs w:val="24"/>
          <w:lang w:val="en-US"/>
        </w:rPr>
      </w:pPr>
      <w:r w:rsidRPr="00CC00EA">
        <w:rPr>
          <w:rFonts w:ascii="Arial" w:eastAsia="Times New Roman" w:hAnsi="Arial" w:cs="Arial"/>
          <w:b/>
          <w:bCs/>
          <w:sz w:val="24"/>
          <w:szCs w:val="24"/>
          <w:lang w:val="en-US"/>
        </w:rPr>
        <w:t>STRATEGIC OBJECTIVE</w:t>
      </w:r>
    </w:p>
    <w:p w14:paraId="46DD65B0" w14:textId="77777777" w:rsidR="00AD76AC" w:rsidRPr="00CC00EA" w:rsidRDefault="00AD76AC" w:rsidP="00C601CF">
      <w:pPr>
        <w:spacing w:after="0" w:line="240" w:lineRule="auto"/>
        <w:jc w:val="both"/>
        <w:rPr>
          <w:rFonts w:ascii="Arial" w:eastAsia="Times New Roman" w:hAnsi="Arial" w:cs="Arial"/>
          <w:b/>
          <w:bCs/>
          <w:sz w:val="24"/>
          <w:szCs w:val="24"/>
          <w:lang w:val="en-US"/>
        </w:rPr>
      </w:pPr>
    </w:p>
    <w:p w14:paraId="3692E8DE"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The strategic objective of this matter is under sound financial management and viability.</w:t>
      </w:r>
    </w:p>
    <w:p w14:paraId="3CFC593A"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p>
    <w:p w14:paraId="37F7D1F9" w14:textId="77777777" w:rsidR="00AD76AC" w:rsidRPr="00474226" w:rsidRDefault="00AD76AC" w:rsidP="00573B48">
      <w:pPr>
        <w:pStyle w:val="ListParagraph"/>
        <w:numPr>
          <w:ilvl w:val="0"/>
          <w:numId w:val="13"/>
        </w:numPr>
        <w:spacing w:after="0" w:line="240" w:lineRule="auto"/>
        <w:jc w:val="both"/>
        <w:rPr>
          <w:rFonts w:ascii="Arial" w:eastAsia="Times New Roman" w:hAnsi="Arial" w:cs="Arial"/>
          <w:b/>
          <w:bCs/>
          <w:color w:val="000000" w:themeColor="text1"/>
          <w:sz w:val="24"/>
          <w:szCs w:val="24"/>
          <w:lang w:val="en-US"/>
        </w:rPr>
      </w:pPr>
      <w:bookmarkStart w:id="0" w:name="_Toc442253094"/>
      <w:bookmarkStart w:id="1" w:name="_Toc442521094"/>
      <w:r w:rsidRPr="00474226">
        <w:rPr>
          <w:rFonts w:ascii="Arial" w:eastAsia="Times New Roman" w:hAnsi="Arial" w:cs="Arial"/>
          <w:b/>
          <w:bCs/>
          <w:color w:val="000000" w:themeColor="text1"/>
          <w:sz w:val="24"/>
          <w:szCs w:val="24"/>
          <w:lang w:val="en-US"/>
        </w:rPr>
        <w:t>PURPOSE</w:t>
      </w:r>
    </w:p>
    <w:p w14:paraId="393F175F"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p>
    <w:p w14:paraId="44707027" w14:textId="38A132DE" w:rsidR="00CB2665" w:rsidRPr="00474226" w:rsidRDefault="00CB2665" w:rsidP="00CB2665">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The purpose of this report is to request Council to consider and approve the 202</w:t>
      </w:r>
      <w:r w:rsidR="000D0595" w:rsidRPr="00474226">
        <w:rPr>
          <w:rFonts w:ascii="Arial" w:eastAsia="Times New Roman" w:hAnsi="Arial" w:cs="Arial"/>
          <w:bCs/>
          <w:color w:val="000000" w:themeColor="text1"/>
          <w:sz w:val="24"/>
          <w:szCs w:val="24"/>
          <w:lang w:val="en-US"/>
        </w:rPr>
        <w:t>4</w:t>
      </w:r>
      <w:r w:rsidRPr="00474226">
        <w:rPr>
          <w:rFonts w:ascii="Arial" w:eastAsia="Times New Roman" w:hAnsi="Arial" w:cs="Arial"/>
          <w:bCs/>
          <w:color w:val="000000" w:themeColor="text1"/>
          <w:sz w:val="24"/>
          <w:szCs w:val="24"/>
          <w:lang w:val="en-US"/>
        </w:rPr>
        <w:t>/202</w:t>
      </w:r>
      <w:r w:rsidR="000D0595" w:rsidRPr="00474226">
        <w:rPr>
          <w:rFonts w:ascii="Arial" w:eastAsia="Times New Roman" w:hAnsi="Arial" w:cs="Arial"/>
          <w:bCs/>
          <w:color w:val="000000" w:themeColor="text1"/>
          <w:sz w:val="24"/>
          <w:szCs w:val="24"/>
          <w:lang w:val="en-US"/>
        </w:rPr>
        <w:t>5</w:t>
      </w:r>
      <w:r w:rsidRPr="00474226">
        <w:rPr>
          <w:rFonts w:ascii="Arial" w:eastAsia="Times New Roman" w:hAnsi="Arial" w:cs="Arial"/>
          <w:bCs/>
          <w:color w:val="000000" w:themeColor="text1"/>
          <w:sz w:val="24"/>
          <w:szCs w:val="24"/>
          <w:lang w:val="en-US"/>
        </w:rPr>
        <w:t xml:space="preserve"> (MTREF) Medium-term Revenue and Expenditure Framework in terms of Section 24 (1) of the Municipal Finance Management Act 2003, Act no. 56 of 2003.</w:t>
      </w:r>
    </w:p>
    <w:p w14:paraId="288B5D70"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p>
    <w:p w14:paraId="058C604B" w14:textId="77777777" w:rsidR="00AD76AC" w:rsidRPr="00474226" w:rsidRDefault="00AD76AC" w:rsidP="00573B48">
      <w:pPr>
        <w:pStyle w:val="ListParagraph"/>
        <w:numPr>
          <w:ilvl w:val="0"/>
          <w:numId w:val="13"/>
        </w:numPr>
        <w:spacing w:after="0" w:line="240" w:lineRule="auto"/>
        <w:jc w:val="both"/>
        <w:rPr>
          <w:rFonts w:ascii="Arial" w:eastAsia="Times New Roman" w:hAnsi="Arial" w:cs="Arial"/>
          <w:b/>
          <w:bCs/>
          <w:color w:val="000000" w:themeColor="text1"/>
          <w:sz w:val="24"/>
          <w:szCs w:val="24"/>
          <w:lang w:val="en-US"/>
        </w:rPr>
      </w:pPr>
      <w:r w:rsidRPr="00474226">
        <w:rPr>
          <w:rFonts w:ascii="Arial" w:eastAsia="Times New Roman" w:hAnsi="Arial" w:cs="Arial"/>
          <w:b/>
          <w:bCs/>
          <w:color w:val="000000" w:themeColor="text1"/>
          <w:sz w:val="24"/>
          <w:szCs w:val="24"/>
          <w:lang w:val="en-US"/>
        </w:rPr>
        <w:t>BACKGROUND</w:t>
      </w:r>
    </w:p>
    <w:p w14:paraId="7556BF1C"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p>
    <w:p w14:paraId="1BEE9946"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In terms of Local Government Municip</w:t>
      </w:r>
      <w:r w:rsidR="003B08BE" w:rsidRPr="00474226">
        <w:rPr>
          <w:rFonts w:ascii="Arial" w:eastAsia="Times New Roman" w:hAnsi="Arial" w:cs="Arial"/>
          <w:bCs/>
          <w:color w:val="000000" w:themeColor="text1"/>
          <w:sz w:val="24"/>
          <w:szCs w:val="24"/>
          <w:lang w:val="en-US"/>
        </w:rPr>
        <w:t xml:space="preserve">al Finance </w:t>
      </w:r>
      <w:r w:rsidR="00E67803" w:rsidRPr="00474226">
        <w:rPr>
          <w:rFonts w:ascii="Arial" w:eastAsia="Times New Roman" w:hAnsi="Arial" w:cs="Arial"/>
          <w:bCs/>
          <w:color w:val="000000" w:themeColor="text1"/>
          <w:sz w:val="24"/>
          <w:szCs w:val="24"/>
          <w:lang w:val="en-US"/>
        </w:rPr>
        <w:t>Management Act, the c</w:t>
      </w:r>
      <w:r w:rsidRPr="00474226">
        <w:rPr>
          <w:rFonts w:ascii="Arial" w:eastAsia="Times New Roman" w:hAnsi="Arial" w:cs="Arial"/>
          <w:bCs/>
          <w:color w:val="000000" w:themeColor="text1"/>
          <w:sz w:val="24"/>
          <w:szCs w:val="24"/>
          <w:lang w:val="en-US"/>
        </w:rPr>
        <w:t xml:space="preserve">ouncil of a municipality must for each financial year approve an annual budget for the municipality before the start of that financial year. </w:t>
      </w:r>
    </w:p>
    <w:p w14:paraId="12EFDACA" w14:textId="77777777" w:rsidR="00573B48" w:rsidRPr="00474226" w:rsidRDefault="00573B48" w:rsidP="00C601CF">
      <w:pPr>
        <w:spacing w:after="0" w:line="240" w:lineRule="auto"/>
        <w:jc w:val="both"/>
        <w:rPr>
          <w:rFonts w:ascii="Arial" w:eastAsia="Times New Roman" w:hAnsi="Arial" w:cs="Arial"/>
          <w:bCs/>
          <w:color w:val="000000" w:themeColor="text1"/>
          <w:sz w:val="24"/>
          <w:szCs w:val="24"/>
          <w:lang w:val="en-US"/>
        </w:rPr>
      </w:pPr>
    </w:p>
    <w:p w14:paraId="237A2BD5" w14:textId="26D512ED" w:rsidR="00573B48" w:rsidRPr="00474226" w:rsidRDefault="001D5312"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The IDP/budget process plan was adopted</w:t>
      </w:r>
      <w:r w:rsidR="00F8257B" w:rsidRPr="00474226">
        <w:rPr>
          <w:rFonts w:ascii="Arial" w:eastAsia="Times New Roman" w:hAnsi="Arial" w:cs="Arial"/>
          <w:bCs/>
          <w:color w:val="000000" w:themeColor="text1"/>
          <w:sz w:val="24"/>
          <w:szCs w:val="24"/>
          <w:lang w:val="en-US"/>
        </w:rPr>
        <w:t xml:space="preserve"> on 25</w:t>
      </w:r>
      <w:r w:rsidR="00F8257B" w:rsidRPr="00474226">
        <w:rPr>
          <w:rFonts w:ascii="Arial" w:eastAsia="Times New Roman" w:hAnsi="Arial" w:cs="Arial"/>
          <w:bCs/>
          <w:color w:val="000000" w:themeColor="text1"/>
          <w:sz w:val="24"/>
          <w:szCs w:val="24"/>
          <w:vertAlign w:val="superscript"/>
          <w:lang w:val="en-US"/>
        </w:rPr>
        <w:t>th</w:t>
      </w:r>
      <w:r w:rsidR="00F8257B" w:rsidRPr="00474226">
        <w:rPr>
          <w:rFonts w:ascii="Arial" w:eastAsia="Times New Roman" w:hAnsi="Arial" w:cs="Arial"/>
          <w:bCs/>
          <w:color w:val="000000" w:themeColor="text1"/>
          <w:sz w:val="24"/>
          <w:szCs w:val="24"/>
          <w:lang w:val="en-US"/>
        </w:rPr>
        <w:t xml:space="preserve"> August 2023 in terms of the provision </w:t>
      </w:r>
      <w:r w:rsidR="00F25739" w:rsidRPr="00474226">
        <w:rPr>
          <w:rFonts w:ascii="Arial" w:eastAsia="Times New Roman" w:hAnsi="Arial" w:cs="Arial"/>
          <w:bCs/>
          <w:color w:val="000000" w:themeColor="text1"/>
          <w:sz w:val="24"/>
          <w:szCs w:val="24"/>
          <w:lang w:val="en-US"/>
        </w:rPr>
        <w:t xml:space="preserve">of the Municipal Finance Management Act. The process plan outlines </w:t>
      </w:r>
      <w:r w:rsidR="00BD7D37" w:rsidRPr="00474226">
        <w:rPr>
          <w:rFonts w:ascii="Arial" w:eastAsia="Times New Roman" w:hAnsi="Arial" w:cs="Arial"/>
          <w:bCs/>
          <w:color w:val="000000" w:themeColor="text1"/>
          <w:sz w:val="24"/>
          <w:szCs w:val="24"/>
          <w:lang w:val="en-US"/>
        </w:rPr>
        <w:t xml:space="preserve">the key deadlines for the preparation, tabling and </w:t>
      </w:r>
      <w:r w:rsidR="00430A22" w:rsidRPr="00474226">
        <w:rPr>
          <w:rFonts w:ascii="Arial" w:eastAsia="Times New Roman" w:hAnsi="Arial" w:cs="Arial"/>
          <w:bCs/>
          <w:color w:val="000000" w:themeColor="text1"/>
          <w:sz w:val="24"/>
          <w:szCs w:val="24"/>
          <w:lang w:val="en-US"/>
        </w:rPr>
        <w:t xml:space="preserve">approval of the annual </w:t>
      </w:r>
      <w:r w:rsidR="009850B4" w:rsidRPr="00474226">
        <w:rPr>
          <w:rFonts w:ascii="Arial" w:eastAsia="Times New Roman" w:hAnsi="Arial" w:cs="Arial"/>
          <w:bCs/>
          <w:color w:val="000000" w:themeColor="text1"/>
          <w:sz w:val="24"/>
          <w:szCs w:val="24"/>
          <w:lang w:val="en-US"/>
        </w:rPr>
        <w:t>budget.</w:t>
      </w:r>
    </w:p>
    <w:p w14:paraId="2B7ACEE6"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p>
    <w:p w14:paraId="21601770" w14:textId="0F5D2E09" w:rsidR="00AD76AC" w:rsidRPr="00474226" w:rsidRDefault="00560F1F" w:rsidP="003A5AC5">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 xml:space="preserve">The budget process </w:t>
      </w:r>
      <w:r w:rsidR="002B7B53" w:rsidRPr="00474226">
        <w:rPr>
          <w:rFonts w:ascii="Arial" w:eastAsia="Times New Roman" w:hAnsi="Arial" w:cs="Arial"/>
          <w:bCs/>
          <w:color w:val="000000" w:themeColor="text1"/>
          <w:sz w:val="24"/>
          <w:szCs w:val="24"/>
          <w:lang w:val="en-US"/>
        </w:rPr>
        <w:t>is guided</w:t>
      </w:r>
      <w:r w:rsidR="00AD76AC" w:rsidRPr="00474226">
        <w:rPr>
          <w:rFonts w:ascii="Arial" w:eastAsia="Times New Roman" w:hAnsi="Arial" w:cs="Arial"/>
          <w:bCs/>
          <w:color w:val="000000" w:themeColor="text1"/>
          <w:sz w:val="24"/>
          <w:szCs w:val="24"/>
          <w:lang w:val="en-US"/>
        </w:rPr>
        <w:t xml:space="preserve"> by </w:t>
      </w:r>
      <w:r w:rsidR="00514C1F" w:rsidRPr="00474226">
        <w:rPr>
          <w:rFonts w:ascii="Arial" w:eastAsia="Times New Roman" w:hAnsi="Arial" w:cs="Arial"/>
          <w:bCs/>
          <w:color w:val="000000" w:themeColor="text1"/>
          <w:sz w:val="24"/>
          <w:szCs w:val="24"/>
          <w:lang w:val="en-US"/>
        </w:rPr>
        <w:t xml:space="preserve">Municipal Finance Management Act, Municipal Budget </w:t>
      </w:r>
      <w:r w:rsidR="000372D5" w:rsidRPr="00474226">
        <w:rPr>
          <w:rFonts w:ascii="Arial" w:eastAsia="Times New Roman" w:hAnsi="Arial" w:cs="Arial"/>
          <w:bCs/>
          <w:color w:val="000000" w:themeColor="text1"/>
          <w:sz w:val="24"/>
          <w:szCs w:val="24"/>
          <w:lang w:val="en-US"/>
        </w:rPr>
        <w:t xml:space="preserve">Reporting </w:t>
      </w:r>
      <w:r w:rsidR="003A5AC5" w:rsidRPr="00474226">
        <w:rPr>
          <w:rFonts w:ascii="Arial" w:eastAsia="Times New Roman" w:hAnsi="Arial" w:cs="Arial"/>
          <w:bCs/>
          <w:color w:val="000000" w:themeColor="text1"/>
          <w:sz w:val="24"/>
          <w:szCs w:val="24"/>
          <w:lang w:val="en-US"/>
        </w:rPr>
        <w:t>R</w:t>
      </w:r>
      <w:r w:rsidR="000372D5" w:rsidRPr="00474226">
        <w:rPr>
          <w:rFonts w:ascii="Arial" w:eastAsia="Times New Roman" w:hAnsi="Arial" w:cs="Arial"/>
          <w:bCs/>
          <w:color w:val="000000" w:themeColor="text1"/>
          <w:sz w:val="24"/>
          <w:szCs w:val="24"/>
          <w:lang w:val="en-US"/>
        </w:rPr>
        <w:t>egulations,</w:t>
      </w:r>
      <w:r w:rsidR="002F6EB7">
        <w:rPr>
          <w:rFonts w:ascii="Arial" w:eastAsia="Times New Roman" w:hAnsi="Arial" w:cs="Arial"/>
          <w:bCs/>
          <w:color w:val="000000" w:themeColor="text1"/>
          <w:sz w:val="24"/>
          <w:szCs w:val="24"/>
          <w:lang w:val="en-US"/>
        </w:rPr>
        <w:t xml:space="preserve"> </w:t>
      </w:r>
      <w:r w:rsidR="000372D5" w:rsidRPr="00474226">
        <w:rPr>
          <w:rFonts w:ascii="Arial" w:eastAsia="Times New Roman" w:hAnsi="Arial" w:cs="Arial"/>
          <w:bCs/>
          <w:color w:val="000000" w:themeColor="text1"/>
          <w:sz w:val="24"/>
          <w:szCs w:val="24"/>
          <w:lang w:val="en-US"/>
        </w:rPr>
        <w:t xml:space="preserve">Municipal Budget related policies, </w:t>
      </w:r>
      <w:r w:rsidR="00AD76AC" w:rsidRPr="00474226">
        <w:rPr>
          <w:rFonts w:ascii="Arial" w:eastAsia="Times New Roman" w:hAnsi="Arial" w:cs="Arial"/>
          <w:bCs/>
          <w:color w:val="000000" w:themeColor="text1"/>
          <w:sz w:val="24"/>
          <w:szCs w:val="24"/>
          <w:lang w:val="en-US"/>
        </w:rPr>
        <w:t>National Treasu</w:t>
      </w:r>
      <w:r w:rsidR="00950762" w:rsidRPr="00474226">
        <w:rPr>
          <w:rFonts w:ascii="Arial" w:eastAsia="Times New Roman" w:hAnsi="Arial" w:cs="Arial"/>
          <w:bCs/>
          <w:color w:val="000000" w:themeColor="text1"/>
          <w:sz w:val="24"/>
          <w:szCs w:val="24"/>
          <w:lang w:val="en-US"/>
        </w:rPr>
        <w:t xml:space="preserve">ry </w:t>
      </w:r>
      <w:r w:rsidR="000372D5" w:rsidRPr="00474226">
        <w:rPr>
          <w:rFonts w:ascii="Arial" w:eastAsia="Times New Roman" w:hAnsi="Arial" w:cs="Arial"/>
          <w:bCs/>
          <w:color w:val="000000" w:themeColor="text1"/>
          <w:sz w:val="24"/>
          <w:szCs w:val="24"/>
          <w:lang w:val="en-US"/>
        </w:rPr>
        <w:t xml:space="preserve">MFMA </w:t>
      </w:r>
      <w:r w:rsidR="00950762" w:rsidRPr="00474226">
        <w:rPr>
          <w:rFonts w:ascii="Arial" w:eastAsia="Times New Roman" w:hAnsi="Arial" w:cs="Arial"/>
          <w:bCs/>
          <w:color w:val="000000" w:themeColor="text1"/>
          <w:sz w:val="24"/>
          <w:szCs w:val="24"/>
          <w:lang w:val="en-US"/>
        </w:rPr>
        <w:t>Circular</w:t>
      </w:r>
      <w:r w:rsidR="00FD5BFD" w:rsidRPr="00474226">
        <w:rPr>
          <w:rFonts w:ascii="Arial" w:eastAsia="Times New Roman" w:hAnsi="Arial" w:cs="Arial"/>
          <w:bCs/>
          <w:color w:val="000000" w:themeColor="text1"/>
          <w:sz w:val="24"/>
          <w:szCs w:val="24"/>
          <w:lang w:val="en-US"/>
        </w:rPr>
        <w:t xml:space="preserve"> No.1</w:t>
      </w:r>
      <w:r w:rsidR="002A2C97" w:rsidRPr="00474226">
        <w:rPr>
          <w:rFonts w:ascii="Arial" w:eastAsia="Times New Roman" w:hAnsi="Arial" w:cs="Arial"/>
          <w:bCs/>
          <w:color w:val="000000" w:themeColor="text1"/>
          <w:sz w:val="24"/>
          <w:szCs w:val="24"/>
          <w:lang w:val="en-US"/>
        </w:rPr>
        <w:t>2</w:t>
      </w:r>
      <w:r w:rsidR="00430A22" w:rsidRPr="00474226">
        <w:rPr>
          <w:rFonts w:ascii="Arial" w:eastAsia="Times New Roman" w:hAnsi="Arial" w:cs="Arial"/>
          <w:bCs/>
          <w:color w:val="000000" w:themeColor="text1"/>
          <w:sz w:val="24"/>
          <w:szCs w:val="24"/>
          <w:lang w:val="en-US"/>
        </w:rPr>
        <w:t>6</w:t>
      </w:r>
      <w:r w:rsidR="000372D5" w:rsidRPr="00474226">
        <w:rPr>
          <w:rFonts w:ascii="Arial" w:eastAsia="Times New Roman" w:hAnsi="Arial" w:cs="Arial"/>
          <w:bCs/>
          <w:color w:val="000000" w:themeColor="text1"/>
          <w:sz w:val="24"/>
          <w:szCs w:val="24"/>
          <w:lang w:val="en-US"/>
        </w:rPr>
        <w:t>,</w:t>
      </w:r>
      <w:r w:rsidR="00514C1F" w:rsidRPr="00474226">
        <w:rPr>
          <w:rFonts w:ascii="Arial" w:eastAsia="Times New Roman" w:hAnsi="Arial" w:cs="Arial"/>
          <w:bCs/>
          <w:color w:val="000000" w:themeColor="text1"/>
          <w:sz w:val="24"/>
          <w:szCs w:val="24"/>
          <w:lang w:val="en-US"/>
        </w:rPr>
        <w:t>128</w:t>
      </w:r>
      <w:r w:rsidR="000372D5" w:rsidRPr="00474226">
        <w:rPr>
          <w:rFonts w:ascii="Arial" w:eastAsia="Times New Roman" w:hAnsi="Arial" w:cs="Arial"/>
          <w:bCs/>
          <w:color w:val="000000" w:themeColor="text1"/>
          <w:sz w:val="24"/>
          <w:szCs w:val="24"/>
          <w:lang w:val="en-US"/>
        </w:rPr>
        <w:t xml:space="preserve"> and related </w:t>
      </w:r>
      <w:r w:rsidR="003A5AC5" w:rsidRPr="00474226">
        <w:rPr>
          <w:rFonts w:ascii="Arial" w:eastAsia="Times New Roman" w:hAnsi="Arial" w:cs="Arial"/>
          <w:bCs/>
          <w:color w:val="000000" w:themeColor="text1"/>
          <w:sz w:val="24"/>
          <w:szCs w:val="24"/>
          <w:lang w:val="en-US"/>
        </w:rPr>
        <w:t>circulars</w:t>
      </w:r>
      <w:r w:rsidR="000372D5" w:rsidRPr="00474226">
        <w:rPr>
          <w:rFonts w:ascii="Arial" w:eastAsia="Times New Roman" w:hAnsi="Arial" w:cs="Arial"/>
          <w:bCs/>
          <w:color w:val="000000" w:themeColor="text1"/>
          <w:sz w:val="24"/>
          <w:szCs w:val="24"/>
          <w:lang w:val="en-US"/>
        </w:rPr>
        <w:t>.</w:t>
      </w:r>
    </w:p>
    <w:p w14:paraId="7E6FDAE8" w14:textId="77777777" w:rsidR="00AD76AC" w:rsidRPr="00474226" w:rsidRDefault="00AD76AC" w:rsidP="00C601CF">
      <w:pPr>
        <w:spacing w:after="0" w:line="240" w:lineRule="auto"/>
        <w:rPr>
          <w:rFonts w:ascii="Arial" w:eastAsia="Times New Roman" w:hAnsi="Arial" w:cs="Arial"/>
          <w:bCs/>
          <w:color w:val="000000" w:themeColor="text1"/>
          <w:sz w:val="24"/>
          <w:szCs w:val="24"/>
          <w:lang w:val="en-US"/>
        </w:rPr>
      </w:pPr>
    </w:p>
    <w:p w14:paraId="242DF177" w14:textId="3642449D" w:rsidR="00AD76AC" w:rsidRPr="00474226" w:rsidRDefault="00356941" w:rsidP="00573B48">
      <w:pPr>
        <w:pStyle w:val="ListParagraph"/>
        <w:numPr>
          <w:ilvl w:val="0"/>
          <w:numId w:val="13"/>
        </w:numPr>
        <w:spacing w:after="0" w:line="360" w:lineRule="auto"/>
        <w:jc w:val="both"/>
        <w:rPr>
          <w:rFonts w:ascii="Arial" w:eastAsia="Times New Roman" w:hAnsi="Arial" w:cs="Arial"/>
          <w:b/>
          <w:bCs/>
          <w:color w:val="000000" w:themeColor="text1"/>
          <w:sz w:val="24"/>
          <w:szCs w:val="24"/>
          <w:lang w:val="en-US"/>
        </w:rPr>
      </w:pPr>
      <w:r w:rsidRPr="00474226">
        <w:rPr>
          <w:rFonts w:ascii="Arial" w:eastAsia="Times New Roman" w:hAnsi="Arial" w:cs="Arial"/>
          <w:b/>
          <w:bCs/>
          <w:color w:val="000000" w:themeColor="text1"/>
          <w:sz w:val="24"/>
          <w:szCs w:val="24"/>
          <w:lang w:val="en-US"/>
        </w:rPr>
        <w:t>DISCUSSIONS</w:t>
      </w:r>
    </w:p>
    <w:bookmarkEnd w:id="0"/>
    <w:bookmarkEnd w:id="1"/>
    <w:p w14:paraId="22FAE990"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p>
    <w:p w14:paraId="0EDEEE71"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r w:rsidRPr="00474226">
        <w:rPr>
          <w:rFonts w:ascii="Arial" w:eastAsia="Times New Roman" w:hAnsi="Arial" w:cs="Arial"/>
          <w:b/>
          <w:bCs/>
          <w:color w:val="000000" w:themeColor="text1"/>
          <w:sz w:val="24"/>
          <w:szCs w:val="24"/>
          <w:lang w:val="en-US"/>
        </w:rPr>
        <w:t>CONSOLIDATED BUDGET:   GREATER TZANEEN MUNICIPALITY AND GTEDA, INCLUDING WATER AND SEWER SERVICES</w:t>
      </w:r>
    </w:p>
    <w:p w14:paraId="196E1036"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p>
    <w:p w14:paraId="2E70B312" w14:textId="73473FE3" w:rsidR="00AD76AC" w:rsidRPr="00474226" w:rsidRDefault="00350DEE"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 xml:space="preserve">The total </w:t>
      </w:r>
      <w:r w:rsidR="003B08BE" w:rsidRPr="00474226">
        <w:rPr>
          <w:rFonts w:ascii="Arial" w:eastAsia="Times New Roman" w:hAnsi="Arial" w:cs="Arial"/>
          <w:bCs/>
          <w:color w:val="000000" w:themeColor="text1"/>
          <w:sz w:val="24"/>
          <w:szCs w:val="24"/>
          <w:lang w:val="en-US"/>
        </w:rPr>
        <w:t xml:space="preserve">projected </w:t>
      </w:r>
      <w:r w:rsidRPr="00474226">
        <w:rPr>
          <w:rFonts w:ascii="Arial" w:eastAsia="Times New Roman" w:hAnsi="Arial" w:cs="Arial"/>
          <w:bCs/>
          <w:color w:val="000000" w:themeColor="text1"/>
          <w:sz w:val="24"/>
          <w:szCs w:val="24"/>
          <w:lang w:val="en-US"/>
        </w:rPr>
        <w:t xml:space="preserve">revenue for </w:t>
      </w:r>
      <w:r w:rsidR="00FD5BFD" w:rsidRPr="00474226">
        <w:rPr>
          <w:rFonts w:ascii="Arial" w:eastAsia="Times New Roman" w:hAnsi="Arial" w:cs="Arial"/>
          <w:bCs/>
          <w:color w:val="000000" w:themeColor="text1"/>
          <w:sz w:val="24"/>
          <w:szCs w:val="24"/>
          <w:lang w:val="en-US"/>
        </w:rPr>
        <w:t>the 202</w:t>
      </w:r>
      <w:r w:rsidR="0018362E" w:rsidRPr="00474226">
        <w:rPr>
          <w:rFonts w:ascii="Arial" w:eastAsia="Times New Roman" w:hAnsi="Arial" w:cs="Arial"/>
          <w:bCs/>
          <w:color w:val="000000" w:themeColor="text1"/>
          <w:sz w:val="24"/>
          <w:szCs w:val="24"/>
          <w:lang w:val="en-US"/>
        </w:rPr>
        <w:t>4</w:t>
      </w:r>
      <w:r w:rsidR="00FD5BFD" w:rsidRPr="00474226">
        <w:rPr>
          <w:rFonts w:ascii="Arial" w:eastAsia="Times New Roman" w:hAnsi="Arial" w:cs="Arial"/>
          <w:bCs/>
          <w:color w:val="000000" w:themeColor="text1"/>
          <w:sz w:val="24"/>
          <w:szCs w:val="24"/>
          <w:lang w:val="en-US"/>
        </w:rPr>
        <w:t>/202</w:t>
      </w:r>
      <w:r w:rsidR="0018362E" w:rsidRPr="00474226">
        <w:rPr>
          <w:rFonts w:ascii="Arial" w:eastAsia="Times New Roman" w:hAnsi="Arial" w:cs="Arial"/>
          <w:bCs/>
          <w:color w:val="000000" w:themeColor="text1"/>
          <w:sz w:val="24"/>
          <w:szCs w:val="24"/>
          <w:lang w:val="en-US"/>
        </w:rPr>
        <w:t>5</w:t>
      </w:r>
      <w:r w:rsidR="00AD76AC" w:rsidRPr="00474226">
        <w:rPr>
          <w:rFonts w:ascii="Arial" w:eastAsia="Times New Roman" w:hAnsi="Arial" w:cs="Arial"/>
          <w:bCs/>
          <w:color w:val="000000" w:themeColor="text1"/>
          <w:sz w:val="24"/>
          <w:szCs w:val="24"/>
          <w:lang w:val="en-US"/>
        </w:rPr>
        <w:t xml:space="preserve"> financial year amounts to </w:t>
      </w:r>
      <w:r w:rsidR="00215947" w:rsidRPr="00474226">
        <w:rPr>
          <w:rFonts w:ascii="Arial" w:eastAsia="Times New Roman" w:hAnsi="Arial" w:cs="Arial"/>
          <w:bCs/>
          <w:color w:val="000000" w:themeColor="text1"/>
          <w:sz w:val="24"/>
          <w:szCs w:val="24"/>
          <w:lang w:val="en-US"/>
        </w:rPr>
        <w:t>R</w:t>
      </w:r>
      <w:r w:rsidR="001E095B" w:rsidRPr="00474226">
        <w:rPr>
          <w:rFonts w:ascii="Arial" w:eastAsia="Times New Roman" w:hAnsi="Arial" w:cs="Arial"/>
          <w:bCs/>
          <w:color w:val="000000" w:themeColor="text1"/>
          <w:sz w:val="24"/>
          <w:szCs w:val="24"/>
          <w:lang w:val="en-US"/>
        </w:rPr>
        <w:t>2</w:t>
      </w:r>
      <w:r w:rsidR="00FD5BFD" w:rsidRPr="00474226">
        <w:rPr>
          <w:rFonts w:ascii="Arial" w:eastAsia="Times New Roman" w:hAnsi="Arial" w:cs="Arial"/>
          <w:bCs/>
          <w:color w:val="000000" w:themeColor="text1"/>
          <w:sz w:val="24"/>
          <w:szCs w:val="24"/>
          <w:lang w:val="en-US"/>
        </w:rPr>
        <w:t>,</w:t>
      </w:r>
      <w:r w:rsidR="001E095B" w:rsidRPr="00474226">
        <w:rPr>
          <w:rFonts w:ascii="Arial" w:eastAsia="Times New Roman" w:hAnsi="Arial" w:cs="Arial"/>
          <w:bCs/>
          <w:color w:val="000000" w:themeColor="text1"/>
          <w:sz w:val="24"/>
          <w:szCs w:val="24"/>
          <w:lang w:val="en-US"/>
        </w:rPr>
        <w:t>0</w:t>
      </w:r>
      <w:r w:rsidR="00953DB1" w:rsidRPr="00474226">
        <w:rPr>
          <w:rFonts w:ascii="Arial" w:eastAsia="Times New Roman" w:hAnsi="Arial" w:cs="Arial"/>
          <w:bCs/>
          <w:color w:val="000000" w:themeColor="text1"/>
          <w:sz w:val="24"/>
          <w:szCs w:val="24"/>
          <w:lang w:val="en-US"/>
        </w:rPr>
        <w:t>67</w:t>
      </w:r>
      <w:r w:rsidR="003B08BE" w:rsidRPr="00474226">
        <w:rPr>
          <w:rFonts w:ascii="Arial" w:eastAsia="Times New Roman" w:hAnsi="Arial" w:cs="Arial"/>
          <w:bCs/>
          <w:color w:val="000000" w:themeColor="text1"/>
          <w:sz w:val="24"/>
          <w:szCs w:val="24"/>
          <w:lang w:val="en-US"/>
        </w:rPr>
        <w:t xml:space="preserve"> billion</w:t>
      </w:r>
      <w:r w:rsidR="00AD76AC" w:rsidRPr="00474226">
        <w:rPr>
          <w:rFonts w:ascii="Arial" w:eastAsia="Times New Roman" w:hAnsi="Arial" w:cs="Arial"/>
          <w:bCs/>
          <w:color w:val="000000" w:themeColor="text1"/>
          <w:sz w:val="24"/>
          <w:szCs w:val="24"/>
          <w:lang w:val="en-US"/>
        </w:rPr>
        <w:t>.   This increase is mainly due to the increase in property rates, service charges and external grants from Government.</w:t>
      </w:r>
    </w:p>
    <w:p w14:paraId="34929002" w14:textId="77777777" w:rsidR="005C3FA5" w:rsidRPr="00474226" w:rsidRDefault="005C3FA5" w:rsidP="00C601CF">
      <w:pPr>
        <w:spacing w:after="0" w:line="240" w:lineRule="auto"/>
        <w:jc w:val="both"/>
        <w:rPr>
          <w:rFonts w:ascii="Arial" w:eastAsia="Times New Roman" w:hAnsi="Arial" w:cs="Arial"/>
          <w:bCs/>
          <w:color w:val="000000" w:themeColor="text1"/>
          <w:sz w:val="24"/>
          <w:szCs w:val="24"/>
          <w:lang w:val="en-US"/>
        </w:rPr>
      </w:pPr>
    </w:p>
    <w:p w14:paraId="75AB67BA" w14:textId="77777777" w:rsidR="005C3FA5" w:rsidRPr="00474226" w:rsidRDefault="005C3FA5" w:rsidP="00C601CF">
      <w:pPr>
        <w:spacing w:after="0" w:line="240" w:lineRule="auto"/>
        <w:jc w:val="both"/>
        <w:rPr>
          <w:rFonts w:ascii="Arial" w:eastAsia="Times New Roman" w:hAnsi="Arial" w:cs="Arial"/>
          <w:bCs/>
          <w:color w:val="000000" w:themeColor="text1"/>
          <w:sz w:val="24"/>
          <w:szCs w:val="24"/>
          <w:lang w:val="en-US"/>
        </w:rPr>
      </w:pPr>
    </w:p>
    <w:p w14:paraId="4BB743F4" w14:textId="53374870"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The total revenue b</w:t>
      </w:r>
      <w:r w:rsidR="00124FB9" w:rsidRPr="00474226">
        <w:rPr>
          <w:rFonts w:ascii="Arial" w:eastAsia="Times New Roman" w:hAnsi="Arial" w:cs="Arial"/>
          <w:bCs/>
          <w:color w:val="000000" w:themeColor="text1"/>
          <w:sz w:val="24"/>
          <w:szCs w:val="24"/>
          <w:lang w:val="en-US"/>
        </w:rPr>
        <w:t xml:space="preserve">udget includes an amount of </w:t>
      </w:r>
      <w:r w:rsidR="00FD5BFD" w:rsidRPr="00474226">
        <w:rPr>
          <w:rFonts w:ascii="Arial" w:eastAsia="Times New Roman" w:hAnsi="Arial" w:cs="Arial"/>
          <w:bCs/>
          <w:color w:val="000000" w:themeColor="text1"/>
          <w:sz w:val="24"/>
          <w:szCs w:val="24"/>
          <w:lang w:val="en-US"/>
        </w:rPr>
        <w:t>R</w:t>
      </w:r>
      <w:r w:rsidR="008138CA" w:rsidRPr="00474226">
        <w:rPr>
          <w:rFonts w:ascii="Arial" w:eastAsia="Times New Roman" w:hAnsi="Arial" w:cs="Arial"/>
          <w:bCs/>
          <w:color w:val="000000" w:themeColor="text1"/>
          <w:sz w:val="24"/>
          <w:szCs w:val="24"/>
          <w:lang w:val="en-US"/>
        </w:rPr>
        <w:t>5</w:t>
      </w:r>
      <w:r w:rsidR="00A73023" w:rsidRPr="00474226">
        <w:rPr>
          <w:rFonts w:ascii="Arial" w:eastAsia="Times New Roman" w:hAnsi="Arial" w:cs="Arial"/>
          <w:bCs/>
          <w:color w:val="000000" w:themeColor="text1"/>
          <w:sz w:val="24"/>
          <w:szCs w:val="24"/>
          <w:lang w:val="en-US"/>
        </w:rPr>
        <w:t>5</w:t>
      </w:r>
      <w:r w:rsidR="008138CA" w:rsidRPr="00474226">
        <w:rPr>
          <w:rFonts w:ascii="Arial" w:eastAsia="Times New Roman" w:hAnsi="Arial" w:cs="Arial"/>
          <w:bCs/>
          <w:color w:val="000000" w:themeColor="text1"/>
          <w:sz w:val="24"/>
          <w:szCs w:val="24"/>
          <w:lang w:val="en-US"/>
        </w:rPr>
        <w:t>1</w:t>
      </w:r>
      <w:r w:rsidRPr="00474226">
        <w:rPr>
          <w:rFonts w:ascii="Arial" w:eastAsia="Times New Roman" w:hAnsi="Arial" w:cs="Arial"/>
          <w:bCs/>
          <w:color w:val="000000" w:themeColor="text1"/>
          <w:sz w:val="24"/>
          <w:szCs w:val="24"/>
          <w:lang w:val="en-US"/>
        </w:rPr>
        <w:t xml:space="preserve"> million which represents the equitable share allocation to the Greater Tzaneen Municipality.</w:t>
      </w:r>
    </w:p>
    <w:p w14:paraId="50B6CB5F" w14:textId="77777777" w:rsidR="00350DEE" w:rsidRPr="00474226" w:rsidRDefault="00350DEE" w:rsidP="00C601CF">
      <w:pPr>
        <w:spacing w:after="0" w:line="240" w:lineRule="auto"/>
        <w:jc w:val="both"/>
        <w:rPr>
          <w:rFonts w:ascii="Arial" w:eastAsia="Times New Roman" w:hAnsi="Arial" w:cs="Arial"/>
          <w:bCs/>
          <w:color w:val="000000" w:themeColor="text1"/>
          <w:sz w:val="24"/>
          <w:szCs w:val="24"/>
          <w:lang w:val="en-US"/>
        </w:rPr>
      </w:pPr>
    </w:p>
    <w:p w14:paraId="0FA4CC4A" w14:textId="245ED08B" w:rsidR="00AD76AC" w:rsidRPr="00474226" w:rsidRDefault="00350DEE"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 xml:space="preserve">An amount of </w:t>
      </w:r>
      <w:r w:rsidR="00FD5BFD" w:rsidRPr="00474226">
        <w:rPr>
          <w:rFonts w:ascii="Arial" w:eastAsia="Times New Roman" w:hAnsi="Arial" w:cs="Arial"/>
          <w:bCs/>
          <w:color w:val="000000" w:themeColor="text1"/>
          <w:sz w:val="24"/>
          <w:szCs w:val="24"/>
          <w:lang w:val="en-US"/>
        </w:rPr>
        <w:t>R1</w:t>
      </w:r>
      <w:r w:rsidR="00953DB1" w:rsidRPr="00474226">
        <w:rPr>
          <w:rFonts w:ascii="Arial" w:eastAsia="Times New Roman" w:hAnsi="Arial" w:cs="Arial"/>
          <w:bCs/>
          <w:color w:val="000000" w:themeColor="text1"/>
          <w:sz w:val="24"/>
          <w:szCs w:val="24"/>
          <w:lang w:val="en-US"/>
        </w:rPr>
        <w:t>90</w:t>
      </w:r>
      <w:r w:rsidR="00AD76AC" w:rsidRPr="00474226">
        <w:rPr>
          <w:rFonts w:ascii="Arial" w:eastAsia="Times New Roman" w:hAnsi="Arial" w:cs="Arial"/>
          <w:bCs/>
          <w:color w:val="000000" w:themeColor="text1"/>
          <w:sz w:val="24"/>
          <w:szCs w:val="24"/>
          <w:lang w:val="en-US"/>
        </w:rPr>
        <w:t xml:space="preserve"> million will be levied</w:t>
      </w:r>
      <w:r w:rsidR="00D935BE" w:rsidRPr="00474226">
        <w:rPr>
          <w:rFonts w:ascii="Arial" w:eastAsia="Times New Roman" w:hAnsi="Arial" w:cs="Arial"/>
          <w:bCs/>
          <w:color w:val="000000" w:themeColor="text1"/>
          <w:sz w:val="24"/>
          <w:szCs w:val="24"/>
          <w:lang w:val="en-US"/>
        </w:rPr>
        <w:t xml:space="preserve"> by way of property </w:t>
      </w:r>
      <w:r w:rsidR="00B65DAB" w:rsidRPr="00474226">
        <w:rPr>
          <w:rFonts w:ascii="Arial" w:eastAsia="Times New Roman" w:hAnsi="Arial" w:cs="Arial"/>
          <w:bCs/>
          <w:color w:val="000000" w:themeColor="text1"/>
          <w:sz w:val="24"/>
          <w:szCs w:val="24"/>
          <w:lang w:val="en-US"/>
        </w:rPr>
        <w:t>rates</w:t>
      </w:r>
      <w:r w:rsidR="00D935BE" w:rsidRPr="00474226">
        <w:rPr>
          <w:rFonts w:ascii="Arial" w:eastAsia="Times New Roman" w:hAnsi="Arial" w:cs="Arial"/>
          <w:bCs/>
          <w:color w:val="000000" w:themeColor="text1"/>
          <w:sz w:val="24"/>
          <w:szCs w:val="24"/>
          <w:lang w:val="en-US"/>
        </w:rPr>
        <w:t xml:space="preserve"> and </w:t>
      </w:r>
      <w:r w:rsidR="00FD5BFD" w:rsidRPr="00474226">
        <w:rPr>
          <w:rFonts w:ascii="Arial" w:eastAsia="Times New Roman" w:hAnsi="Arial" w:cs="Arial"/>
          <w:bCs/>
          <w:color w:val="000000" w:themeColor="text1"/>
          <w:sz w:val="24"/>
          <w:szCs w:val="24"/>
          <w:lang w:val="en-US"/>
        </w:rPr>
        <w:t>R</w:t>
      </w:r>
      <w:r w:rsidR="00BB7C4C" w:rsidRPr="00474226">
        <w:rPr>
          <w:rFonts w:ascii="Arial" w:eastAsia="Times New Roman" w:hAnsi="Arial" w:cs="Arial"/>
          <w:bCs/>
          <w:color w:val="000000" w:themeColor="text1"/>
          <w:sz w:val="24"/>
          <w:szCs w:val="24"/>
          <w:lang w:val="en-US"/>
        </w:rPr>
        <w:t>1,032 billion</w:t>
      </w:r>
      <w:r w:rsidR="00AD76AC" w:rsidRPr="00474226">
        <w:rPr>
          <w:rFonts w:ascii="Arial" w:eastAsia="Times New Roman" w:hAnsi="Arial" w:cs="Arial"/>
          <w:bCs/>
          <w:color w:val="000000" w:themeColor="text1"/>
          <w:sz w:val="24"/>
          <w:szCs w:val="24"/>
          <w:lang w:val="en-US"/>
        </w:rPr>
        <w:t xml:space="preserve"> will be sourced from user </w:t>
      </w:r>
      <w:r w:rsidR="00B65DAB" w:rsidRPr="00474226">
        <w:rPr>
          <w:rFonts w:ascii="Arial" w:eastAsia="Times New Roman" w:hAnsi="Arial" w:cs="Arial"/>
          <w:bCs/>
          <w:color w:val="000000" w:themeColor="text1"/>
          <w:sz w:val="24"/>
          <w:szCs w:val="24"/>
          <w:lang w:val="en-US"/>
        </w:rPr>
        <w:t>s</w:t>
      </w:r>
      <w:r w:rsidR="00C5432E" w:rsidRPr="00474226">
        <w:rPr>
          <w:rFonts w:ascii="Arial" w:eastAsia="Times New Roman" w:hAnsi="Arial" w:cs="Arial"/>
          <w:bCs/>
          <w:color w:val="000000" w:themeColor="text1"/>
          <w:sz w:val="24"/>
          <w:szCs w:val="24"/>
          <w:lang w:val="en-US"/>
        </w:rPr>
        <w:t xml:space="preserve">ervice </w:t>
      </w:r>
      <w:r w:rsidR="00AD76AC" w:rsidRPr="00474226">
        <w:rPr>
          <w:rFonts w:ascii="Arial" w:eastAsia="Times New Roman" w:hAnsi="Arial" w:cs="Arial"/>
          <w:bCs/>
          <w:color w:val="000000" w:themeColor="text1"/>
          <w:sz w:val="24"/>
          <w:szCs w:val="24"/>
          <w:lang w:val="en-US"/>
        </w:rPr>
        <w:t>charges.   National allocations to fund oper</w:t>
      </w:r>
      <w:r w:rsidR="00124FB9" w:rsidRPr="00474226">
        <w:rPr>
          <w:rFonts w:ascii="Arial" w:eastAsia="Times New Roman" w:hAnsi="Arial" w:cs="Arial"/>
          <w:bCs/>
          <w:color w:val="000000" w:themeColor="text1"/>
          <w:sz w:val="24"/>
          <w:szCs w:val="24"/>
          <w:lang w:val="en-US"/>
        </w:rPr>
        <w:t>ational activities amount to</w:t>
      </w:r>
      <w:r w:rsidR="00FD5BFD" w:rsidRPr="00474226">
        <w:rPr>
          <w:rFonts w:ascii="Arial" w:eastAsia="Times New Roman" w:hAnsi="Arial" w:cs="Arial"/>
          <w:bCs/>
          <w:color w:val="000000" w:themeColor="text1"/>
          <w:sz w:val="24"/>
          <w:szCs w:val="24"/>
          <w:lang w:val="en-US"/>
        </w:rPr>
        <w:t xml:space="preserve"> R</w:t>
      </w:r>
      <w:r w:rsidR="00352D65" w:rsidRPr="00474226">
        <w:rPr>
          <w:rFonts w:ascii="Arial" w:eastAsia="Times New Roman" w:hAnsi="Arial" w:cs="Arial"/>
          <w:bCs/>
          <w:color w:val="000000" w:themeColor="text1"/>
          <w:sz w:val="24"/>
          <w:szCs w:val="24"/>
          <w:lang w:val="en-US"/>
        </w:rPr>
        <w:t>3</w:t>
      </w:r>
      <w:r w:rsidR="00953DB1" w:rsidRPr="00474226">
        <w:rPr>
          <w:rFonts w:ascii="Arial" w:eastAsia="Times New Roman" w:hAnsi="Arial" w:cs="Arial"/>
          <w:bCs/>
          <w:color w:val="000000" w:themeColor="text1"/>
          <w:sz w:val="24"/>
          <w:szCs w:val="24"/>
          <w:lang w:val="en-US"/>
        </w:rPr>
        <w:t>4</w:t>
      </w:r>
      <w:r w:rsidR="00FD5BFD" w:rsidRPr="00474226">
        <w:rPr>
          <w:rFonts w:ascii="Arial" w:eastAsia="Times New Roman" w:hAnsi="Arial" w:cs="Arial"/>
          <w:bCs/>
          <w:color w:val="000000" w:themeColor="text1"/>
          <w:sz w:val="24"/>
          <w:szCs w:val="24"/>
          <w:lang w:val="en-US"/>
        </w:rPr>
        <w:t>,</w:t>
      </w:r>
      <w:r w:rsidR="00953DB1" w:rsidRPr="00474226">
        <w:rPr>
          <w:rFonts w:ascii="Arial" w:eastAsia="Times New Roman" w:hAnsi="Arial" w:cs="Arial"/>
          <w:bCs/>
          <w:color w:val="000000" w:themeColor="text1"/>
          <w:sz w:val="24"/>
          <w:szCs w:val="24"/>
          <w:lang w:val="en-US"/>
        </w:rPr>
        <w:t>3</w:t>
      </w:r>
      <w:r w:rsidR="00AD76AC" w:rsidRPr="00474226">
        <w:rPr>
          <w:rFonts w:ascii="Arial" w:eastAsia="Times New Roman" w:hAnsi="Arial" w:cs="Arial"/>
          <w:bCs/>
          <w:color w:val="000000" w:themeColor="text1"/>
          <w:sz w:val="24"/>
          <w:szCs w:val="24"/>
          <w:lang w:val="en-US"/>
        </w:rPr>
        <w:t xml:space="preserve"> million which includes the </w:t>
      </w:r>
      <w:r w:rsidR="00124FB9" w:rsidRPr="00474226">
        <w:rPr>
          <w:rFonts w:ascii="Arial" w:eastAsia="Times New Roman" w:hAnsi="Arial" w:cs="Arial"/>
          <w:bCs/>
          <w:color w:val="000000" w:themeColor="text1"/>
          <w:sz w:val="24"/>
          <w:szCs w:val="24"/>
          <w:lang w:val="en-US"/>
        </w:rPr>
        <w:t>Finance Management Grant of R2,0 million, the EPWP grant of</w:t>
      </w:r>
      <w:r w:rsidR="00FD5BFD" w:rsidRPr="00474226">
        <w:rPr>
          <w:rFonts w:ascii="Arial" w:eastAsia="Times New Roman" w:hAnsi="Arial" w:cs="Arial"/>
          <w:bCs/>
          <w:color w:val="000000" w:themeColor="text1"/>
          <w:sz w:val="24"/>
          <w:szCs w:val="24"/>
          <w:lang w:val="en-US"/>
        </w:rPr>
        <w:t xml:space="preserve"> R</w:t>
      </w:r>
      <w:r w:rsidR="00C02412" w:rsidRPr="00474226">
        <w:rPr>
          <w:rFonts w:ascii="Arial" w:eastAsia="Times New Roman" w:hAnsi="Arial" w:cs="Arial"/>
          <w:bCs/>
          <w:color w:val="000000" w:themeColor="text1"/>
          <w:sz w:val="24"/>
          <w:szCs w:val="24"/>
          <w:lang w:val="en-US"/>
        </w:rPr>
        <w:t>5,</w:t>
      </w:r>
      <w:r w:rsidR="00BB7C4C" w:rsidRPr="00474226">
        <w:rPr>
          <w:rFonts w:ascii="Arial" w:eastAsia="Times New Roman" w:hAnsi="Arial" w:cs="Arial"/>
          <w:bCs/>
          <w:color w:val="000000" w:themeColor="text1"/>
          <w:sz w:val="24"/>
          <w:szCs w:val="24"/>
          <w:lang w:val="en-US"/>
        </w:rPr>
        <w:t>0</w:t>
      </w:r>
      <w:r w:rsidR="00AD76AC" w:rsidRPr="00474226">
        <w:rPr>
          <w:rFonts w:ascii="Arial" w:eastAsia="Times New Roman" w:hAnsi="Arial" w:cs="Arial"/>
          <w:bCs/>
          <w:color w:val="000000" w:themeColor="text1"/>
          <w:sz w:val="24"/>
          <w:szCs w:val="24"/>
          <w:lang w:val="en-US"/>
        </w:rPr>
        <w:t xml:space="preserve"> milli</w:t>
      </w:r>
      <w:r w:rsidRPr="00474226">
        <w:rPr>
          <w:rFonts w:ascii="Arial" w:eastAsia="Times New Roman" w:hAnsi="Arial" w:cs="Arial"/>
          <w:bCs/>
          <w:color w:val="000000" w:themeColor="text1"/>
          <w:sz w:val="24"/>
          <w:szCs w:val="24"/>
          <w:lang w:val="en-US"/>
        </w:rPr>
        <w:t>on</w:t>
      </w:r>
      <w:r w:rsidR="00FD5BFD" w:rsidRPr="00474226">
        <w:rPr>
          <w:rFonts w:ascii="Arial" w:eastAsia="Times New Roman" w:hAnsi="Arial" w:cs="Arial"/>
          <w:bCs/>
          <w:color w:val="000000" w:themeColor="text1"/>
          <w:sz w:val="24"/>
          <w:szCs w:val="24"/>
          <w:lang w:val="en-US"/>
        </w:rPr>
        <w:t>; the energy efficiency grant of R5</w:t>
      </w:r>
      <w:r w:rsidR="00953DB1" w:rsidRPr="00474226">
        <w:rPr>
          <w:rFonts w:ascii="Arial" w:eastAsia="Times New Roman" w:hAnsi="Arial" w:cs="Arial"/>
          <w:bCs/>
          <w:color w:val="000000" w:themeColor="text1"/>
          <w:sz w:val="24"/>
          <w:szCs w:val="24"/>
          <w:lang w:val="en-US"/>
        </w:rPr>
        <w:t>,0</w:t>
      </w:r>
      <w:r w:rsidR="00FD5BFD" w:rsidRPr="00474226">
        <w:rPr>
          <w:rFonts w:ascii="Arial" w:eastAsia="Times New Roman" w:hAnsi="Arial" w:cs="Arial"/>
          <w:bCs/>
          <w:color w:val="000000" w:themeColor="text1"/>
          <w:sz w:val="24"/>
          <w:szCs w:val="24"/>
          <w:lang w:val="en-US"/>
        </w:rPr>
        <w:t xml:space="preserve"> million</w:t>
      </w:r>
      <w:r w:rsidR="005D6CEE" w:rsidRPr="00474226">
        <w:rPr>
          <w:rFonts w:ascii="Arial" w:eastAsia="Times New Roman" w:hAnsi="Arial" w:cs="Arial"/>
          <w:bCs/>
          <w:color w:val="000000" w:themeColor="text1"/>
          <w:sz w:val="24"/>
          <w:szCs w:val="24"/>
          <w:lang w:val="en-US"/>
        </w:rPr>
        <w:t>, MIG o</w:t>
      </w:r>
      <w:r w:rsidR="00C06786" w:rsidRPr="00474226">
        <w:rPr>
          <w:rFonts w:ascii="Arial" w:eastAsia="Times New Roman" w:hAnsi="Arial" w:cs="Arial"/>
          <w:bCs/>
          <w:color w:val="000000" w:themeColor="text1"/>
          <w:sz w:val="24"/>
          <w:szCs w:val="24"/>
          <w:lang w:val="en-US"/>
        </w:rPr>
        <w:t>peration of R 5</w:t>
      </w:r>
      <w:r w:rsidR="007E177B" w:rsidRPr="00474226">
        <w:rPr>
          <w:rFonts w:ascii="Arial" w:eastAsia="Times New Roman" w:hAnsi="Arial" w:cs="Arial"/>
          <w:bCs/>
          <w:color w:val="000000" w:themeColor="text1"/>
          <w:sz w:val="24"/>
          <w:szCs w:val="24"/>
          <w:lang w:val="en-US"/>
        </w:rPr>
        <w:t>,</w:t>
      </w:r>
      <w:r w:rsidR="008A5E7C" w:rsidRPr="00474226">
        <w:rPr>
          <w:rFonts w:ascii="Arial" w:eastAsia="Times New Roman" w:hAnsi="Arial" w:cs="Arial"/>
          <w:bCs/>
          <w:color w:val="000000" w:themeColor="text1"/>
          <w:sz w:val="24"/>
          <w:szCs w:val="24"/>
          <w:lang w:val="en-US"/>
        </w:rPr>
        <w:t>9</w:t>
      </w:r>
      <w:r w:rsidR="007E177B" w:rsidRPr="00474226">
        <w:rPr>
          <w:rFonts w:ascii="Arial" w:eastAsia="Times New Roman" w:hAnsi="Arial" w:cs="Arial"/>
          <w:bCs/>
          <w:color w:val="000000" w:themeColor="text1"/>
          <w:sz w:val="24"/>
          <w:szCs w:val="24"/>
          <w:lang w:val="en-US"/>
        </w:rPr>
        <w:t xml:space="preserve"> million</w:t>
      </w:r>
      <w:r w:rsidRPr="00474226">
        <w:rPr>
          <w:rFonts w:ascii="Arial" w:eastAsia="Times New Roman" w:hAnsi="Arial" w:cs="Arial"/>
          <w:bCs/>
          <w:color w:val="000000" w:themeColor="text1"/>
          <w:sz w:val="24"/>
          <w:szCs w:val="24"/>
          <w:lang w:val="en-US"/>
        </w:rPr>
        <w:t xml:space="preserve"> and the INEP allocation of</w:t>
      </w:r>
      <w:r w:rsidR="00FD5BFD" w:rsidRPr="00474226">
        <w:rPr>
          <w:rFonts w:ascii="Arial" w:eastAsia="Times New Roman" w:hAnsi="Arial" w:cs="Arial"/>
          <w:bCs/>
          <w:color w:val="000000" w:themeColor="text1"/>
          <w:sz w:val="24"/>
          <w:szCs w:val="24"/>
          <w:lang w:val="en-US"/>
        </w:rPr>
        <w:t xml:space="preserve"> R1</w:t>
      </w:r>
      <w:r w:rsidR="00953DB1" w:rsidRPr="00474226">
        <w:rPr>
          <w:rFonts w:ascii="Arial" w:eastAsia="Times New Roman" w:hAnsi="Arial" w:cs="Arial"/>
          <w:bCs/>
          <w:color w:val="000000" w:themeColor="text1"/>
          <w:sz w:val="24"/>
          <w:szCs w:val="24"/>
          <w:lang w:val="en-US"/>
        </w:rPr>
        <w:t xml:space="preserve">6.4 </w:t>
      </w:r>
      <w:r w:rsidR="00AD76AC" w:rsidRPr="00474226">
        <w:rPr>
          <w:rFonts w:ascii="Arial" w:eastAsia="Times New Roman" w:hAnsi="Arial" w:cs="Arial"/>
          <w:bCs/>
          <w:color w:val="000000" w:themeColor="text1"/>
          <w:sz w:val="24"/>
          <w:szCs w:val="24"/>
          <w:lang w:val="en-US"/>
        </w:rPr>
        <w:t>million</w:t>
      </w:r>
      <w:r w:rsidR="00F54D5B" w:rsidRPr="00474226">
        <w:rPr>
          <w:rFonts w:ascii="Arial" w:eastAsia="Times New Roman" w:hAnsi="Arial" w:cs="Arial"/>
          <w:bCs/>
          <w:color w:val="000000" w:themeColor="text1"/>
          <w:sz w:val="24"/>
          <w:szCs w:val="24"/>
          <w:lang w:val="en-US"/>
        </w:rPr>
        <w:t>.</w:t>
      </w:r>
    </w:p>
    <w:p w14:paraId="403DDF04" w14:textId="77777777" w:rsidR="00350DEE" w:rsidRPr="00474226" w:rsidRDefault="00350DEE" w:rsidP="00C601CF">
      <w:pPr>
        <w:spacing w:after="0" w:line="240" w:lineRule="auto"/>
        <w:jc w:val="both"/>
        <w:rPr>
          <w:rFonts w:ascii="Arial" w:eastAsia="Times New Roman" w:hAnsi="Arial" w:cs="Arial"/>
          <w:bCs/>
          <w:color w:val="000000" w:themeColor="text1"/>
          <w:sz w:val="24"/>
          <w:szCs w:val="24"/>
          <w:lang w:val="en-US"/>
        </w:rPr>
      </w:pPr>
    </w:p>
    <w:p w14:paraId="20A175C5" w14:textId="0961E07D"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An amount</w:t>
      </w:r>
      <w:r w:rsidR="00350DEE" w:rsidRPr="00474226">
        <w:rPr>
          <w:rFonts w:ascii="Arial" w:eastAsia="Times New Roman" w:hAnsi="Arial" w:cs="Arial"/>
          <w:bCs/>
          <w:color w:val="000000" w:themeColor="text1"/>
          <w:sz w:val="24"/>
          <w:szCs w:val="24"/>
          <w:lang w:val="en-US"/>
        </w:rPr>
        <w:t xml:space="preserve"> of R1</w:t>
      </w:r>
      <w:r w:rsidR="00022518" w:rsidRPr="00474226">
        <w:rPr>
          <w:rFonts w:ascii="Arial" w:eastAsia="Times New Roman" w:hAnsi="Arial" w:cs="Arial"/>
          <w:bCs/>
          <w:color w:val="000000" w:themeColor="text1"/>
          <w:sz w:val="24"/>
          <w:szCs w:val="24"/>
          <w:lang w:val="en-US"/>
        </w:rPr>
        <w:t xml:space="preserve">, </w:t>
      </w:r>
      <w:r w:rsidR="00B77D42" w:rsidRPr="00474226">
        <w:rPr>
          <w:rFonts w:ascii="Arial" w:eastAsia="Times New Roman" w:hAnsi="Arial" w:cs="Arial"/>
          <w:bCs/>
          <w:color w:val="000000" w:themeColor="text1"/>
          <w:sz w:val="24"/>
          <w:szCs w:val="24"/>
          <w:lang w:val="en-US"/>
        </w:rPr>
        <w:t>808</w:t>
      </w:r>
      <w:r w:rsidRPr="00474226">
        <w:rPr>
          <w:rFonts w:ascii="Arial" w:eastAsia="Times New Roman" w:hAnsi="Arial" w:cs="Arial"/>
          <w:bCs/>
          <w:color w:val="000000" w:themeColor="text1"/>
          <w:sz w:val="24"/>
          <w:szCs w:val="24"/>
          <w:lang w:val="en-US"/>
        </w:rPr>
        <w:t xml:space="preserve"> </w:t>
      </w:r>
      <w:r w:rsidR="001831E2" w:rsidRPr="00474226">
        <w:rPr>
          <w:rFonts w:ascii="Arial" w:eastAsia="Times New Roman" w:hAnsi="Arial" w:cs="Arial"/>
          <w:bCs/>
          <w:color w:val="000000" w:themeColor="text1"/>
          <w:sz w:val="24"/>
          <w:szCs w:val="24"/>
          <w:lang w:val="en-US"/>
        </w:rPr>
        <w:t>billion</w:t>
      </w:r>
      <w:r w:rsidRPr="00474226">
        <w:rPr>
          <w:rFonts w:ascii="Arial" w:eastAsia="Times New Roman" w:hAnsi="Arial" w:cs="Arial"/>
          <w:bCs/>
          <w:color w:val="000000" w:themeColor="text1"/>
          <w:sz w:val="24"/>
          <w:szCs w:val="24"/>
          <w:lang w:val="en-US"/>
        </w:rPr>
        <w:t xml:space="preserve"> has been made available on the operational budget for expenditure.   This substantial increase is </w:t>
      </w:r>
      <w:r w:rsidR="00FD5BFD" w:rsidRPr="00474226">
        <w:rPr>
          <w:rFonts w:ascii="Arial" w:eastAsia="Times New Roman" w:hAnsi="Arial" w:cs="Arial"/>
          <w:bCs/>
          <w:color w:val="000000" w:themeColor="text1"/>
          <w:sz w:val="24"/>
          <w:szCs w:val="24"/>
          <w:lang w:val="en-US"/>
        </w:rPr>
        <w:t>largely due to the increase in employee related costs</w:t>
      </w:r>
      <w:r w:rsidR="00F43238" w:rsidRPr="00474226">
        <w:rPr>
          <w:rFonts w:ascii="Arial" w:eastAsia="Times New Roman" w:hAnsi="Arial" w:cs="Arial"/>
          <w:bCs/>
          <w:color w:val="000000" w:themeColor="text1"/>
          <w:sz w:val="24"/>
          <w:szCs w:val="24"/>
          <w:lang w:val="en-US"/>
        </w:rPr>
        <w:t>, inventory consumed</w:t>
      </w:r>
      <w:r w:rsidR="00E64A26" w:rsidRPr="00474226">
        <w:rPr>
          <w:rFonts w:ascii="Arial" w:eastAsia="Times New Roman" w:hAnsi="Arial" w:cs="Arial"/>
          <w:bCs/>
          <w:color w:val="000000" w:themeColor="text1"/>
          <w:sz w:val="24"/>
          <w:szCs w:val="24"/>
          <w:lang w:val="en-US"/>
        </w:rPr>
        <w:t>, debt impairment</w:t>
      </w:r>
      <w:r w:rsidRPr="00474226">
        <w:rPr>
          <w:rFonts w:ascii="Arial" w:eastAsia="Times New Roman" w:hAnsi="Arial" w:cs="Arial"/>
          <w:bCs/>
          <w:color w:val="000000" w:themeColor="text1"/>
          <w:sz w:val="24"/>
          <w:szCs w:val="24"/>
          <w:lang w:val="en-US"/>
        </w:rPr>
        <w:t xml:space="preserve"> and bulk purchases.  The </w:t>
      </w:r>
      <w:r w:rsidR="00350DEE" w:rsidRPr="00474226">
        <w:rPr>
          <w:rFonts w:ascii="Arial" w:eastAsia="Times New Roman" w:hAnsi="Arial" w:cs="Arial"/>
          <w:bCs/>
          <w:color w:val="000000" w:themeColor="text1"/>
          <w:sz w:val="24"/>
          <w:szCs w:val="24"/>
          <w:lang w:val="en-US"/>
        </w:rPr>
        <w:t xml:space="preserve">Expenditure amount includes </w:t>
      </w:r>
      <w:r w:rsidR="00FD5BFD" w:rsidRPr="00474226">
        <w:rPr>
          <w:rFonts w:ascii="Arial" w:eastAsia="Times New Roman" w:hAnsi="Arial" w:cs="Arial"/>
          <w:bCs/>
          <w:color w:val="000000" w:themeColor="text1"/>
          <w:sz w:val="24"/>
          <w:szCs w:val="24"/>
          <w:lang w:val="en-US"/>
        </w:rPr>
        <w:t>R4</w:t>
      </w:r>
      <w:r w:rsidR="00E64A26" w:rsidRPr="00474226">
        <w:rPr>
          <w:rFonts w:ascii="Arial" w:eastAsia="Times New Roman" w:hAnsi="Arial" w:cs="Arial"/>
          <w:bCs/>
          <w:color w:val="000000" w:themeColor="text1"/>
          <w:sz w:val="24"/>
          <w:szCs w:val="24"/>
          <w:lang w:val="en-US"/>
        </w:rPr>
        <w:t>8</w:t>
      </w:r>
      <w:r w:rsidR="00A70B8A" w:rsidRPr="00474226">
        <w:rPr>
          <w:rFonts w:ascii="Arial" w:eastAsia="Times New Roman" w:hAnsi="Arial" w:cs="Arial"/>
          <w:bCs/>
          <w:color w:val="000000" w:themeColor="text1"/>
          <w:sz w:val="24"/>
          <w:szCs w:val="24"/>
          <w:lang w:val="en-US"/>
        </w:rPr>
        <w:t>9</w:t>
      </w:r>
      <w:r w:rsidRPr="00474226">
        <w:rPr>
          <w:rFonts w:ascii="Arial" w:eastAsia="Times New Roman" w:hAnsi="Arial" w:cs="Arial"/>
          <w:bCs/>
          <w:color w:val="000000" w:themeColor="text1"/>
          <w:sz w:val="24"/>
          <w:szCs w:val="24"/>
          <w:lang w:val="en-US"/>
        </w:rPr>
        <w:t xml:space="preserve"> million for </w:t>
      </w:r>
      <w:r w:rsidR="00FD5BFD" w:rsidRPr="00474226">
        <w:rPr>
          <w:rFonts w:ascii="Arial" w:eastAsia="Times New Roman" w:hAnsi="Arial" w:cs="Arial"/>
          <w:bCs/>
          <w:color w:val="000000" w:themeColor="text1"/>
          <w:sz w:val="24"/>
          <w:szCs w:val="24"/>
          <w:lang w:val="en-US"/>
        </w:rPr>
        <w:t>employee related costs, R</w:t>
      </w:r>
      <w:r w:rsidR="001934E9" w:rsidRPr="00474226">
        <w:rPr>
          <w:rFonts w:ascii="Arial" w:eastAsia="Times New Roman" w:hAnsi="Arial" w:cs="Arial"/>
          <w:bCs/>
          <w:color w:val="000000" w:themeColor="text1"/>
          <w:sz w:val="24"/>
          <w:szCs w:val="24"/>
          <w:lang w:val="en-US"/>
        </w:rPr>
        <w:t>1</w:t>
      </w:r>
      <w:r w:rsidR="006D30D5" w:rsidRPr="00474226">
        <w:rPr>
          <w:rFonts w:ascii="Arial" w:eastAsia="Times New Roman" w:hAnsi="Arial" w:cs="Arial"/>
          <w:bCs/>
          <w:color w:val="000000" w:themeColor="text1"/>
          <w:sz w:val="24"/>
          <w:szCs w:val="24"/>
          <w:lang w:val="en-US"/>
        </w:rPr>
        <w:t>33</w:t>
      </w:r>
      <w:r w:rsidRPr="00474226">
        <w:rPr>
          <w:rFonts w:ascii="Arial" w:eastAsia="Times New Roman" w:hAnsi="Arial" w:cs="Arial"/>
          <w:bCs/>
          <w:color w:val="000000" w:themeColor="text1"/>
          <w:sz w:val="24"/>
          <w:szCs w:val="24"/>
          <w:lang w:val="en-US"/>
        </w:rPr>
        <w:t xml:space="preserve"> million for </w:t>
      </w:r>
      <w:r w:rsidR="00C253E9" w:rsidRPr="00474226">
        <w:rPr>
          <w:rFonts w:ascii="Arial" w:eastAsia="Times New Roman" w:hAnsi="Arial" w:cs="Arial"/>
          <w:bCs/>
          <w:color w:val="000000" w:themeColor="text1"/>
          <w:sz w:val="24"/>
          <w:szCs w:val="24"/>
          <w:lang w:val="en-US"/>
        </w:rPr>
        <w:t>inventory consumed</w:t>
      </w:r>
      <w:r w:rsidR="00350DEE" w:rsidRPr="00474226">
        <w:rPr>
          <w:rFonts w:ascii="Arial" w:eastAsia="Times New Roman" w:hAnsi="Arial" w:cs="Arial"/>
          <w:bCs/>
          <w:color w:val="000000" w:themeColor="text1"/>
          <w:sz w:val="24"/>
          <w:szCs w:val="24"/>
          <w:lang w:val="en-US"/>
        </w:rPr>
        <w:t xml:space="preserve"> excluding </w:t>
      </w:r>
      <w:proofErr w:type="spellStart"/>
      <w:r w:rsidR="00350DEE" w:rsidRPr="00474226">
        <w:rPr>
          <w:rFonts w:ascii="Arial" w:eastAsia="Times New Roman" w:hAnsi="Arial" w:cs="Arial"/>
          <w:bCs/>
          <w:color w:val="000000" w:themeColor="text1"/>
          <w:sz w:val="24"/>
          <w:szCs w:val="24"/>
          <w:lang w:val="en-US"/>
        </w:rPr>
        <w:t>labour</w:t>
      </w:r>
      <w:proofErr w:type="spellEnd"/>
      <w:r w:rsidR="00350DEE" w:rsidRPr="00474226">
        <w:rPr>
          <w:rFonts w:ascii="Arial" w:eastAsia="Times New Roman" w:hAnsi="Arial" w:cs="Arial"/>
          <w:bCs/>
          <w:color w:val="000000" w:themeColor="text1"/>
          <w:sz w:val="24"/>
          <w:szCs w:val="24"/>
          <w:lang w:val="en-US"/>
        </w:rPr>
        <w:t xml:space="preserve"> costs and </w:t>
      </w:r>
      <w:r w:rsidR="00FD5BFD" w:rsidRPr="00474226">
        <w:rPr>
          <w:rFonts w:ascii="Arial" w:eastAsia="Times New Roman" w:hAnsi="Arial" w:cs="Arial"/>
          <w:bCs/>
          <w:color w:val="000000" w:themeColor="text1"/>
          <w:sz w:val="24"/>
          <w:szCs w:val="24"/>
          <w:lang w:val="en-US"/>
        </w:rPr>
        <w:t xml:space="preserve">R </w:t>
      </w:r>
      <w:r w:rsidR="001934E9" w:rsidRPr="00474226">
        <w:rPr>
          <w:rFonts w:ascii="Arial" w:eastAsia="Times New Roman" w:hAnsi="Arial" w:cs="Arial"/>
          <w:bCs/>
          <w:color w:val="000000" w:themeColor="text1"/>
          <w:sz w:val="24"/>
          <w:szCs w:val="24"/>
          <w:lang w:val="en-US"/>
        </w:rPr>
        <w:t>5</w:t>
      </w:r>
      <w:r w:rsidR="006D30D5" w:rsidRPr="00474226">
        <w:rPr>
          <w:rFonts w:ascii="Arial" w:eastAsia="Times New Roman" w:hAnsi="Arial" w:cs="Arial"/>
          <w:bCs/>
          <w:color w:val="000000" w:themeColor="text1"/>
          <w:sz w:val="24"/>
          <w:szCs w:val="24"/>
          <w:lang w:val="en-US"/>
        </w:rPr>
        <w:t>60</w:t>
      </w:r>
      <w:r w:rsidR="00350DEE" w:rsidRPr="00474226">
        <w:rPr>
          <w:rFonts w:ascii="Arial" w:eastAsia="Times New Roman" w:hAnsi="Arial" w:cs="Arial"/>
          <w:bCs/>
          <w:color w:val="000000" w:themeColor="text1"/>
          <w:sz w:val="24"/>
          <w:szCs w:val="24"/>
          <w:lang w:val="en-US"/>
        </w:rPr>
        <w:t xml:space="preserve"> </w:t>
      </w:r>
      <w:r w:rsidRPr="00474226">
        <w:rPr>
          <w:rFonts w:ascii="Arial" w:eastAsia="Times New Roman" w:hAnsi="Arial" w:cs="Arial"/>
          <w:bCs/>
          <w:color w:val="000000" w:themeColor="text1"/>
          <w:sz w:val="24"/>
          <w:szCs w:val="24"/>
          <w:lang w:val="en-US"/>
        </w:rPr>
        <w:t xml:space="preserve">million for the purchase of bulk </w:t>
      </w:r>
      <w:r w:rsidR="00FD5BFD" w:rsidRPr="00474226">
        <w:rPr>
          <w:rFonts w:ascii="Arial" w:eastAsia="Times New Roman" w:hAnsi="Arial" w:cs="Arial"/>
          <w:bCs/>
          <w:color w:val="000000" w:themeColor="text1"/>
          <w:sz w:val="24"/>
          <w:szCs w:val="24"/>
          <w:lang w:val="en-US"/>
        </w:rPr>
        <w:t>electricity</w:t>
      </w:r>
      <w:r w:rsidRPr="00474226">
        <w:rPr>
          <w:rFonts w:ascii="Arial" w:eastAsia="Times New Roman" w:hAnsi="Arial" w:cs="Arial"/>
          <w:bCs/>
          <w:color w:val="000000" w:themeColor="text1"/>
          <w:sz w:val="24"/>
          <w:szCs w:val="24"/>
          <w:lang w:val="en-US"/>
        </w:rPr>
        <w:t>.</w:t>
      </w:r>
    </w:p>
    <w:p w14:paraId="6D2FCDD2" w14:textId="77777777" w:rsidR="00AD76AC" w:rsidRPr="00474226" w:rsidRDefault="00AD76AC" w:rsidP="00C601CF">
      <w:pPr>
        <w:spacing w:after="0" w:line="240" w:lineRule="auto"/>
        <w:ind w:left="1134"/>
        <w:jc w:val="both"/>
        <w:rPr>
          <w:rFonts w:ascii="Arial" w:eastAsia="Times New Roman" w:hAnsi="Arial" w:cs="Arial"/>
          <w:bCs/>
          <w:color w:val="000000" w:themeColor="text1"/>
          <w:sz w:val="24"/>
          <w:szCs w:val="24"/>
          <w:lang w:val="en-US"/>
        </w:rPr>
      </w:pPr>
    </w:p>
    <w:p w14:paraId="5DF7E786" w14:textId="0F256129" w:rsidR="00AD76AC" w:rsidRPr="00474226" w:rsidRDefault="00AD76AC" w:rsidP="00C601CF">
      <w:pPr>
        <w:spacing w:after="200" w:line="240" w:lineRule="auto"/>
        <w:ind w:right="-330"/>
        <w:jc w:val="both"/>
        <w:rPr>
          <w:rFonts w:ascii="Arial" w:eastAsia="Calibri" w:hAnsi="Arial" w:cs="Arial"/>
          <w:bCs/>
          <w:color w:val="000000" w:themeColor="text1"/>
          <w:sz w:val="24"/>
          <w:szCs w:val="24"/>
          <w:lang w:val="en-ZA"/>
        </w:rPr>
      </w:pPr>
      <w:r w:rsidRPr="00474226">
        <w:rPr>
          <w:rFonts w:ascii="Arial" w:eastAsia="Calibri" w:hAnsi="Arial" w:cs="Arial"/>
          <w:bCs/>
          <w:color w:val="000000" w:themeColor="text1"/>
          <w:sz w:val="24"/>
          <w:szCs w:val="24"/>
          <w:lang w:val="en-ZA"/>
        </w:rPr>
        <w:t xml:space="preserve">An amount of </w:t>
      </w:r>
      <w:r w:rsidR="00FD5BFD" w:rsidRPr="00474226">
        <w:rPr>
          <w:rFonts w:ascii="Arial" w:eastAsia="Calibri" w:hAnsi="Arial" w:cs="Arial"/>
          <w:bCs/>
          <w:color w:val="000000" w:themeColor="text1"/>
          <w:sz w:val="24"/>
          <w:szCs w:val="24"/>
          <w:lang w:val="en-ZA"/>
        </w:rPr>
        <w:t>R</w:t>
      </w:r>
      <w:r w:rsidR="00C73EE4" w:rsidRPr="00474226">
        <w:rPr>
          <w:rFonts w:ascii="Arial" w:eastAsia="Calibri" w:hAnsi="Arial" w:cs="Arial"/>
          <w:bCs/>
          <w:color w:val="000000" w:themeColor="text1"/>
          <w:sz w:val="24"/>
          <w:szCs w:val="24"/>
          <w:lang w:val="en-ZA"/>
        </w:rPr>
        <w:t>2</w:t>
      </w:r>
      <w:r w:rsidR="00953DB1" w:rsidRPr="00474226">
        <w:rPr>
          <w:rFonts w:ascii="Arial" w:eastAsia="Calibri" w:hAnsi="Arial" w:cs="Arial"/>
          <w:bCs/>
          <w:color w:val="000000" w:themeColor="text1"/>
          <w:sz w:val="24"/>
          <w:szCs w:val="24"/>
          <w:lang w:val="en-ZA"/>
        </w:rPr>
        <w:t>13</w:t>
      </w:r>
      <w:r w:rsidRPr="00474226">
        <w:rPr>
          <w:rFonts w:ascii="Arial" w:eastAsia="Calibri" w:hAnsi="Arial" w:cs="Arial"/>
          <w:bCs/>
          <w:color w:val="000000" w:themeColor="text1"/>
          <w:sz w:val="24"/>
          <w:szCs w:val="24"/>
          <w:lang w:val="en-ZA"/>
        </w:rPr>
        <w:t xml:space="preserve"> million has been allocated for capital expenditure </w:t>
      </w:r>
      <w:r w:rsidR="00350DEE" w:rsidRPr="00474226">
        <w:rPr>
          <w:rFonts w:ascii="Arial" w:eastAsia="Calibri" w:hAnsi="Arial" w:cs="Arial"/>
          <w:bCs/>
          <w:color w:val="000000" w:themeColor="text1"/>
          <w:sz w:val="24"/>
          <w:szCs w:val="24"/>
          <w:lang w:val="en-ZA"/>
        </w:rPr>
        <w:t xml:space="preserve">for the </w:t>
      </w:r>
      <w:r w:rsidR="00FD5BFD" w:rsidRPr="00474226">
        <w:rPr>
          <w:rFonts w:ascii="Arial" w:eastAsia="Calibri" w:hAnsi="Arial" w:cs="Arial"/>
          <w:bCs/>
          <w:color w:val="000000" w:themeColor="text1"/>
          <w:sz w:val="24"/>
          <w:szCs w:val="24"/>
          <w:lang w:val="en-ZA"/>
        </w:rPr>
        <w:t>202</w:t>
      </w:r>
      <w:r w:rsidR="00C73EE4" w:rsidRPr="00474226">
        <w:rPr>
          <w:rFonts w:ascii="Arial" w:eastAsia="Calibri" w:hAnsi="Arial" w:cs="Arial"/>
          <w:bCs/>
          <w:color w:val="000000" w:themeColor="text1"/>
          <w:sz w:val="24"/>
          <w:szCs w:val="24"/>
          <w:lang w:val="en-ZA"/>
        </w:rPr>
        <w:t>4</w:t>
      </w:r>
      <w:r w:rsidR="00FD5BFD" w:rsidRPr="00474226">
        <w:rPr>
          <w:rFonts w:ascii="Arial" w:eastAsia="Calibri" w:hAnsi="Arial" w:cs="Arial"/>
          <w:bCs/>
          <w:color w:val="000000" w:themeColor="text1"/>
          <w:sz w:val="24"/>
          <w:szCs w:val="24"/>
          <w:lang w:val="en-ZA"/>
        </w:rPr>
        <w:t>/202</w:t>
      </w:r>
      <w:r w:rsidR="00C73EE4" w:rsidRPr="00474226">
        <w:rPr>
          <w:rFonts w:ascii="Arial" w:eastAsia="Calibri" w:hAnsi="Arial" w:cs="Arial"/>
          <w:bCs/>
          <w:color w:val="000000" w:themeColor="text1"/>
          <w:sz w:val="24"/>
          <w:szCs w:val="24"/>
          <w:lang w:val="en-ZA"/>
        </w:rPr>
        <w:t>5</w:t>
      </w:r>
      <w:r w:rsidR="00350DEE" w:rsidRPr="00474226">
        <w:rPr>
          <w:rFonts w:ascii="Arial" w:eastAsia="Calibri" w:hAnsi="Arial" w:cs="Arial"/>
          <w:bCs/>
          <w:color w:val="000000" w:themeColor="text1"/>
          <w:sz w:val="24"/>
          <w:szCs w:val="24"/>
          <w:lang w:val="en-ZA"/>
        </w:rPr>
        <w:t xml:space="preserve"> financial year. This</w:t>
      </w:r>
      <w:r w:rsidRPr="00474226">
        <w:rPr>
          <w:rFonts w:ascii="Arial" w:eastAsia="Calibri" w:hAnsi="Arial" w:cs="Arial"/>
          <w:bCs/>
          <w:color w:val="000000" w:themeColor="text1"/>
          <w:sz w:val="24"/>
          <w:szCs w:val="24"/>
          <w:lang w:val="en-ZA"/>
        </w:rPr>
        <w:t xml:space="preserve"> amount includes the MIG allocatio</w:t>
      </w:r>
      <w:r w:rsidR="00124FB9" w:rsidRPr="00474226">
        <w:rPr>
          <w:rFonts w:ascii="Arial" w:eastAsia="Calibri" w:hAnsi="Arial" w:cs="Arial"/>
          <w:bCs/>
          <w:color w:val="000000" w:themeColor="text1"/>
          <w:sz w:val="24"/>
          <w:szCs w:val="24"/>
          <w:lang w:val="en-ZA"/>
        </w:rPr>
        <w:t>n of</w:t>
      </w:r>
      <w:r w:rsidR="00FD5BFD" w:rsidRPr="00474226">
        <w:rPr>
          <w:rFonts w:ascii="Arial" w:eastAsia="Calibri" w:hAnsi="Arial" w:cs="Arial"/>
          <w:bCs/>
          <w:color w:val="000000" w:themeColor="text1"/>
          <w:sz w:val="24"/>
          <w:szCs w:val="24"/>
          <w:lang w:val="en-ZA"/>
        </w:rPr>
        <w:t xml:space="preserve"> R1</w:t>
      </w:r>
      <w:r w:rsidR="00800F2B" w:rsidRPr="00474226">
        <w:rPr>
          <w:rFonts w:ascii="Arial" w:eastAsia="Calibri" w:hAnsi="Arial" w:cs="Arial"/>
          <w:bCs/>
          <w:color w:val="000000" w:themeColor="text1"/>
          <w:sz w:val="24"/>
          <w:szCs w:val="24"/>
          <w:lang w:val="en-ZA"/>
        </w:rPr>
        <w:t>0</w:t>
      </w:r>
      <w:r w:rsidR="002613EF" w:rsidRPr="00474226">
        <w:rPr>
          <w:rFonts w:ascii="Arial" w:eastAsia="Calibri" w:hAnsi="Arial" w:cs="Arial"/>
          <w:bCs/>
          <w:color w:val="000000" w:themeColor="text1"/>
          <w:sz w:val="24"/>
          <w:szCs w:val="24"/>
          <w:lang w:val="en-ZA"/>
        </w:rPr>
        <w:t>5</w:t>
      </w:r>
      <w:r w:rsidR="00FD5BFD" w:rsidRPr="00474226">
        <w:rPr>
          <w:rFonts w:ascii="Arial" w:eastAsia="Calibri" w:hAnsi="Arial" w:cs="Arial"/>
          <w:bCs/>
          <w:color w:val="000000" w:themeColor="text1"/>
          <w:sz w:val="24"/>
          <w:szCs w:val="24"/>
          <w:lang w:val="en-ZA"/>
        </w:rPr>
        <w:t xml:space="preserve"> million which will be spent</w:t>
      </w:r>
      <w:r w:rsidR="00A72FFD" w:rsidRPr="00474226">
        <w:rPr>
          <w:rFonts w:ascii="Arial" w:eastAsia="Calibri" w:hAnsi="Arial" w:cs="Arial"/>
          <w:bCs/>
          <w:color w:val="000000" w:themeColor="text1"/>
          <w:sz w:val="24"/>
          <w:szCs w:val="24"/>
          <w:lang w:val="en-ZA"/>
        </w:rPr>
        <w:t xml:space="preserve"> on roads</w:t>
      </w:r>
      <w:r w:rsidR="005C3FA5" w:rsidRPr="00474226">
        <w:rPr>
          <w:rFonts w:ascii="Arial" w:eastAsia="Calibri" w:hAnsi="Arial" w:cs="Arial"/>
          <w:bCs/>
          <w:color w:val="000000" w:themeColor="text1"/>
          <w:sz w:val="24"/>
          <w:szCs w:val="24"/>
          <w:lang w:val="en-ZA"/>
        </w:rPr>
        <w:t xml:space="preserve">, </w:t>
      </w:r>
      <w:r w:rsidR="00A8329B" w:rsidRPr="00474226">
        <w:rPr>
          <w:rFonts w:ascii="Arial" w:eastAsia="Calibri" w:hAnsi="Arial" w:cs="Arial"/>
          <w:bCs/>
          <w:color w:val="000000" w:themeColor="text1"/>
          <w:sz w:val="24"/>
          <w:szCs w:val="24"/>
          <w:lang w:val="en-ZA"/>
        </w:rPr>
        <w:t xml:space="preserve">community hall </w:t>
      </w:r>
      <w:r w:rsidR="00FD5BFD" w:rsidRPr="00474226">
        <w:rPr>
          <w:rFonts w:ascii="Arial" w:eastAsia="Calibri" w:hAnsi="Arial" w:cs="Arial"/>
          <w:bCs/>
          <w:color w:val="000000" w:themeColor="text1"/>
          <w:sz w:val="24"/>
          <w:szCs w:val="24"/>
          <w:lang w:val="en-ZA"/>
        </w:rPr>
        <w:t xml:space="preserve">and </w:t>
      </w:r>
      <w:r w:rsidR="00953DB1" w:rsidRPr="00474226">
        <w:rPr>
          <w:rFonts w:ascii="Arial" w:eastAsia="Calibri" w:hAnsi="Arial" w:cs="Arial"/>
          <w:bCs/>
          <w:color w:val="000000" w:themeColor="text1"/>
          <w:sz w:val="24"/>
          <w:szCs w:val="24"/>
          <w:lang w:val="en-ZA"/>
        </w:rPr>
        <w:t>installation of high mast</w:t>
      </w:r>
      <w:r w:rsidR="00FD5BFD" w:rsidRPr="00474226">
        <w:rPr>
          <w:rFonts w:ascii="Arial" w:eastAsia="Calibri" w:hAnsi="Arial" w:cs="Arial"/>
          <w:bCs/>
          <w:color w:val="000000" w:themeColor="text1"/>
          <w:sz w:val="24"/>
          <w:szCs w:val="24"/>
          <w:lang w:val="en-ZA"/>
        </w:rPr>
        <w:t>.</w:t>
      </w:r>
      <w:r w:rsidRPr="00474226">
        <w:rPr>
          <w:rFonts w:ascii="Arial" w:eastAsia="Calibri" w:hAnsi="Arial" w:cs="Arial"/>
          <w:bCs/>
          <w:color w:val="000000" w:themeColor="text1"/>
          <w:sz w:val="24"/>
          <w:szCs w:val="24"/>
          <w:lang w:val="en-ZA"/>
        </w:rPr>
        <w:t xml:space="preserve">  </w:t>
      </w:r>
    </w:p>
    <w:p w14:paraId="0A79F1CD" w14:textId="77777777" w:rsidR="00AD76AC" w:rsidRPr="00474226" w:rsidRDefault="00560F1F" w:rsidP="00C601CF">
      <w:pPr>
        <w:spacing w:after="200" w:line="360" w:lineRule="auto"/>
        <w:ind w:right="-330"/>
        <w:jc w:val="both"/>
        <w:rPr>
          <w:rFonts w:ascii="Arial" w:eastAsia="Calibri" w:hAnsi="Arial" w:cs="Arial"/>
          <w:bCs/>
          <w:color w:val="000000" w:themeColor="text1"/>
          <w:sz w:val="24"/>
          <w:szCs w:val="24"/>
          <w:lang w:val="en-ZA"/>
        </w:rPr>
      </w:pPr>
      <w:r w:rsidRPr="00474226">
        <w:rPr>
          <w:rFonts w:ascii="Arial" w:eastAsia="Calibri" w:hAnsi="Arial" w:cs="Arial"/>
          <w:bCs/>
          <w:color w:val="000000" w:themeColor="text1"/>
          <w:sz w:val="24"/>
          <w:szCs w:val="24"/>
          <w:lang w:val="en-ZA"/>
        </w:rPr>
        <w:t>The summary of the operating and capital budgets are</w:t>
      </w:r>
      <w:r w:rsidR="00AD76AC" w:rsidRPr="00474226">
        <w:rPr>
          <w:rFonts w:ascii="Arial" w:eastAsia="Calibri" w:hAnsi="Arial" w:cs="Arial"/>
          <w:bCs/>
          <w:color w:val="000000" w:themeColor="text1"/>
          <w:sz w:val="24"/>
          <w:szCs w:val="24"/>
          <w:lang w:val="en-ZA"/>
        </w:rPr>
        <w:t xml:space="preserve"> as follows:</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984"/>
        <w:gridCol w:w="2268"/>
        <w:gridCol w:w="2694"/>
      </w:tblGrid>
      <w:tr w:rsidR="00474226" w:rsidRPr="00474226" w14:paraId="644685B7" w14:textId="77777777" w:rsidTr="00693FBD">
        <w:tc>
          <w:tcPr>
            <w:tcW w:w="2836" w:type="dxa"/>
            <w:shd w:val="clear" w:color="auto" w:fill="auto"/>
          </w:tcPr>
          <w:p w14:paraId="033DEB17" w14:textId="77777777" w:rsidR="008F266E" w:rsidRPr="00474226" w:rsidRDefault="008F266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 xml:space="preserve">OPERATING AND CAPITAL BUDGET </w:t>
            </w:r>
          </w:p>
        </w:tc>
        <w:tc>
          <w:tcPr>
            <w:tcW w:w="1984" w:type="dxa"/>
            <w:shd w:val="clear" w:color="auto" w:fill="auto"/>
          </w:tcPr>
          <w:p w14:paraId="79708BDF" w14:textId="3221225F" w:rsidR="008F266E" w:rsidRPr="00474226" w:rsidRDefault="008F266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4</w:t>
            </w: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5</w:t>
            </w:r>
            <w:r w:rsidRPr="00474226">
              <w:rPr>
                <w:rFonts w:ascii="Arial" w:eastAsia="Calibri" w:hAnsi="Arial" w:cs="Arial"/>
                <w:b/>
                <w:bCs/>
                <w:color w:val="000000" w:themeColor="text1"/>
                <w:lang w:val="en-ZA"/>
              </w:rPr>
              <w:t xml:space="preserve"> </w:t>
            </w:r>
          </w:p>
          <w:p w14:paraId="6DB2E4E5" w14:textId="22962CDF" w:rsidR="008F266E" w:rsidRPr="00474226" w:rsidRDefault="0018362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DRAFT</w:t>
            </w:r>
            <w:r w:rsidR="007619E0" w:rsidRPr="00474226">
              <w:rPr>
                <w:rFonts w:ascii="Arial" w:eastAsia="Calibri" w:hAnsi="Arial" w:cs="Arial"/>
                <w:b/>
                <w:bCs/>
                <w:color w:val="000000" w:themeColor="text1"/>
                <w:lang w:val="en-ZA"/>
              </w:rPr>
              <w:t xml:space="preserve"> </w:t>
            </w:r>
            <w:r w:rsidR="008F266E" w:rsidRPr="00474226">
              <w:rPr>
                <w:rFonts w:ascii="Arial" w:eastAsia="Calibri" w:hAnsi="Arial" w:cs="Arial"/>
                <w:b/>
                <w:bCs/>
                <w:color w:val="000000" w:themeColor="text1"/>
                <w:lang w:val="en-ZA"/>
              </w:rPr>
              <w:t>BUDGET</w:t>
            </w:r>
          </w:p>
        </w:tc>
        <w:tc>
          <w:tcPr>
            <w:tcW w:w="2268" w:type="dxa"/>
            <w:shd w:val="clear" w:color="auto" w:fill="auto"/>
          </w:tcPr>
          <w:p w14:paraId="030411EB" w14:textId="5BD681DE" w:rsidR="008F266E" w:rsidRPr="00474226" w:rsidRDefault="008F266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5</w:t>
            </w: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6</w:t>
            </w:r>
          </w:p>
          <w:p w14:paraId="4E300710" w14:textId="56FB158F" w:rsidR="008F266E" w:rsidRPr="00474226" w:rsidRDefault="0018362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DRAFT</w:t>
            </w:r>
            <w:r w:rsidR="008F266E" w:rsidRPr="00474226">
              <w:rPr>
                <w:rFonts w:ascii="Arial" w:eastAsia="Calibri" w:hAnsi="Arial" w:cs="Arial"/>
                <w:b/>
                <w:bCs/>
                <w:color w:val="000000" w:themeColor="text1"/>
                <w:lang w:val="en-ZA"/>
              </w:rPr>
              <w:t xml:space="preserve"> BUDGET</w:t>
            </w:r>
          </w:p>
        </w:tc>
        <w:tc>
          <w:tcPr>
            <w:tcW w:w="2694" w:type="dxa"/>
            <w:shd w:val="clear" w:color="auto" w:fill="auto"/>
          </w:tcPr>
          <w:p w14:paraId="238BCE7A" w14:textId="61B28D22" w:rsidR="008F266E" w:rsidRPr="00474226" w:rsidRDefault="008F266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6</w:t>
            </w:r>
            <w:r w:rsidRPr="00474226">
              <w:rPr>
                <w:rFonts w:ascii="Arial" w:eastAsia="Calibri" w:hAnsi="Arial" w:cs="Arial"/>
                <w:b/>
                <w:bCs/>
                <w:color w:val="000000" w:themeColor="text1"/>
                <w:lang w:val="en-ZA"/>
              </w:rPr>
              <w:t>/202</w:t>
            </w:r>
            <w:r w:rsidR="0018362E" w:rsidRPr="00474226">
              <w:rPr>
                <w:rFonts w:ascii="Arial" w:eastAsia="Calibri" w:hAnsi="Arial" w:cs="Arial"/>
                <w:b/>
                <w:bCs/>
                <w:color w:val="000000" w:themeColor="text1"/>
                <w:lang w:val="en-ZA"/>
              </w:rPr>
              <w:t>7</w:t>
            </w:r>
          </w:p>
          <w:p w14:paraId="457CEABF" w14:textId="2DC32835" w:rsidR="008F266E" w:rsidRPr="00474226" w:rsidRDefault="0018362E" w:rsidP="00C601CF">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DRAFT</w:t>
            </w:r>
            <w:r w:rsidR="008F266E" w:rsidRPr="00474226">
              <w:rPr>
                <w:rFonts w:ascii="Arial" w:eastAsia="Calibri" w:hAnsi="Arial" w:cs="Arial"/>
                <w:b/>
                <w:bCs/>
                <w:color w:val="000000" w:themeColor="text1"/>
                <w:lang w:val="en-ZA"/>
              </w:rPr>
              <w:t xml:space="preserve"> BUDGET</w:t>
            </w:r>
          </w:p>
        </w:tc>
      </w:tr>
      <w:tr w:rsidR="00474226" w:rsidRPr="00474226" w14:paraId="0A2DE4C4" w14:textId="77777777" w:rsidTr="00693FBD">
        <w:tc>
          <w:tcPr>
            <w:tcW w:w="2836" w:type="dxa"/>
            <w:shd w:val="clear" w:color="auto" w:fill="auto"/>
          </w:tcPr>
          <w:p w14:paraId="00849FA4" w14:textId="403CFE91" w:rsidR="006B4D6A" w:rsidRPr="00474226" w:rsidRDefault="006B4D6A" w:rsidP="006B4D6A">
            <w:pPr>
              <w:spacing w:after="0" w:line="276" w:lineRule="auto"/>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TOTAL REVENUE</w:t>
            </w:r>
          </w:p>
        </w:tc>
        <w:tc>
          <w:tcPr>
            <w:tcW w:w="1984" w:type="dxa"/>
            <w:shd w:val="clear" w:color="auto" w:fill="auto"/>
          </w:tcPr>
          <w:p w14:paraId="7AED081A" w14:textId="23D45BA2" w:rsidR="006B4D6A" w:rsidRPr="00474226" w:rsidRDefault="00667DAB" w:rsidP="006B4D6A">
            <w:pPr>
              <w:rPr>
                <w:rFonts w:ascii="Arial" w:hAnsi="Arial" w:cs="Arial"/>
                <w:color w:val="000000" w:themeColor="text1"/>
              </w:rPr>
            </w:pPr>
            <w:r w:rsidRPr="00474226">
              <w:rPr>
                <w:rFonts w:ascii="Arial" w:hAnsi="Arial" w:cs="Arial"/>
                <w:color w:val="000000" w:themeColor="text1"/>
              </w:rPr>
              <w:t xml:space="preserve">R </w:t>
            </w:r>
            <w:r w:rsidR="008C4D8A" w:rsidRPr="00474226">
              <w:rPr>
                <w:rFonts w:ascii="Arial" w:hAnsi="Arial" w:cs="Arial"/>
                <w:color w:val="000000" w:themeColor="text1"/>
              </w:rPr>
              <w:t>2,0</w:t>
            </w:r>
            <w:r w:rsidR="00953DB1" w:rsidRPr="00474226">
              <w:rPr>
                <w:rFonts w:ascii="Arial" w:hAnsi="Arial" w:cs="Arial"/>
                <w:color w:val="000000" w:themeColor="text1"/>
              </w:rPr>
              <w:t>67,805,408</w:t>
            </w:r>
          </w:p>
        </w:tc>
        <w:tc>
          <w:tcPr>
            <w:tcW w:w="2268" w:type="dxa"/>
            <w:shd w:val="clear" w:color="auto" w:fill="auto"/>
          </w:tcPr>
          <w:p w14:paraId="725CD01E" w14:textId="7AD5FF82" w:rsidR="006B4D6A" w:rsidRPr="00474226" w:rsidRDefault="007A0F7E" w:rsidP="006B4D6A">
            <w:pPr>
              <w:rPr>
                <w:rFonts w:ascii="Arial" w:hAnsi="Arial" w:cs="Arial"/>
                <w:color w:val="000000" w:themeColor="text1"/>
              </w:rPr>
            </w:pPr>
            <w:r w:rsidRPr="00474226">
              <w:rPr>
                <w:rFonts w:ascii="Arial" w:hAnsi="Arial" w:cs="Arial"/>
                <w:color w:val="000000" w:themeColor="text1"/>
              </w:rPr>
              <w:t xml:space="preserve">R </w:t>
            </w:r>
            <w:r w:rsidR="00223B1A" w:rsidRPr="00474226">
              <w:rPr>
                <w:rFonts w:ascii="Arial" w:hAnsi="Arial" w:cs="Arial"/>
                <w:color w:val="000000" w:themeColor="text1"/>
              </w:rPr>
              <w:t>2,</w:t>
            </w:r>
            <w:r w:rsidR="00953DB1" w:rsidRPr="00474226">
              <w:rPr>
                <w:rFonts w:ascii="Arial" w:hAnsi="Arial" w:cs="Arial"/>
                <w:color w:val="000000" w:themeColor="text1"/>
              </w:rPr>
              <w:t>198,925,246</w:t>
            </w:r>
          </w:p>
        </w:tc>
        <w:tc>
          <w:tcPr>
            <w:tcW w:w="2694" w:type="dxa"/>
            <w:shd w:val="clear" w:color="auto" w:fill="auto"/>
          </w:tcPr>
          <w:p w14:paraId="6DA9123F" w14:textId="4A18E572" w:rsidR="006B4D6A" w:rsidRPr="00474226" w:rsidRDefault="00A24036" w:rsidP="006B4D6A">
            <w:pPr>
              <w:rPr>
                <w:rFonts w:ascii="Arial" w:hAnsi="Arial" w:cs="Arial"/>
                <w:color w:val="000000" w:themeColor="text1"/>
              </w:rPr>
            </w:pPr>
            <w:r w:rsidRPr="00474226">
              <w:rPr>
                <w:rFonts w:ascii="Arial" w:hAnsi="Arial" w:cs="Arial"/>
                <w:color w:val="000000" w:themeColor="text1"/>
              </w:rPr>
              <w:t xml:space="preserve">R </w:t>
            </w:r>
            <w:r w:rsidR="00223B1A" w:rsidRPr="00474226">
              <w:rPr>
                <w:rFonts w:ascii="Arial" w:hAnsi="Arial" w:cs="Arial"/>
                <w:color w:val="000000" w:themeColor="text1"/>
              </w:rPr>
              <w:t>2,</w:t>
            </w:r>
            <w:r w:rsidR="00474226" w:rsidRPr="00474226">
              <w:rPr>
                <w:rFonts w:ascii="Arial" w:hAnsi="Arial" w:cs="Arial"/>
                <w:color w:val="000000" w:themeColor="text1"/>
              </w:rPr>
              <w:t>405,594,901</w:t>
            </w:r>
          </w:p>
        </w:tc>
      </w:tr>
      <w:tr w:rsidR="00474226" w:rsidRPr="00474226" w14:paraId="4E8B428C" w14:textId="77777777" w:rsidTr="00693FBD">
        <w:tc>
          <w:tcPr>
            <w:tcW w:w="2836" w:type="dxa"/>
            <w:shd w:val="clear" w:color="auto" w:fill="auto"/>
          </w:tcPr>
          <w:p w14:paraId="1DADD9A5" w14:textId="77777777" w:rsidR="00D8300C" w:rsidRPr="00474226" w:rsidRDefault="00D8300C" w:rsidP="00D8300C">
            <w:pPr>
              <w:spacing w:after="0" w:line="276" w:lineRule="auto"/>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TOTAL OPERATING EXPENDITURE</w:t>
            </w:r>
          </w:p>
        </w:tc>
        <w:tc>
          <w:tcPr>
            <w:tcW w:w="1984" w:type="dxa"/>
            <w:shd w:val="clear" w:color="auto" w:fill="auto"/>
          </w:tcPr>
          <w:p w14:paraId="31834963" w14:textId="60213412" w:rsidR="00D8300C" w:rsidRPr="00474226" w:rsidRDefault="00667DAB" w:rsidP="00D8300C">
            <w:pPr>
              <w:rPr>
                <w:rFonts w:ascii="Arial" w:hAnsi="Arial" w:cs="Arial"/>
                <w:color w:val="000000" w:themeColor="text1"/>
              </w:rPr>
            </w:pPr>
            <w:r w:rsidRPr="00474226">
              <w:rPr>
                <w:rFonts w:ascii="Arial" w:hAnsi="Arial" w:cs="Arial"/>
                <w:color w:val="000000" w:themeColor="text1"/>
              </w:rPr>
              <w:t>R</w:t>
            </w:r>
            <w:r w:rsidR="00223B1A" w:rsidRPr="00474226">
              <w:rPr>
                <w:rFonts w:ascii="Arial" w:hAnsi="Arial" w:cs="Arial"/>
                <w:color w:val="000000" w:themeColor="text1"/>
              </w:rPr>
              <w:t>1,808,037,434</w:t>
            </w:r>
          </w:p>
        </w:tc>
        <w:tc>
          <w:tcPr>
            <w:tcW w:w="2268" w:type="dxa"/>
            <w:shd w:val="clear" w:color="auto" w:fill="auto"/>
          </w:tcPr>
          <w:p w14:paraId="14A32885" w14:textId="467D019F" w:rsidR="00D8300C" w:rsidRPr="00474226" w:rsidRDefault="007A0F7E" w:rsidP="00D8300C">
            <w:pPr>
              <w:rPr>
                <w:rFonts w:ascii="Arial" w:hAnsi="Arial" w:cs="Arial"/>
                <w:color w:val="000000" w:themeColor="text1"/>
              </w:rPr>
            </w:pPr>
            <w:r w:rsidRPr="00474226">
              <w:rPr>
                <w:rFonts w:ascii="Arial" w:hAnsi="Arial" w:cs="Arial"/>
                <w:color w:val="000000" w:themeColor="text1"/>
              </w:rPr>
              <w:t xml:space="preserve">R </w:t>
            </w:r>
            <w:r w:rsidR="00223B1A" w:rsidRPr="00474226">
              <w:rPr>
                <w:rFonts w:ascii="Arial" w:hAnsi="Arial" w:cs="Arial"/>
                <w:color w:val="000000" w:themeColor="text1"/>
              </w:rPr>
              <w:t>1,907,</w:t>
            </w:r>
            <w:r w:rsidR="0053719D" w:rsidRPr="00474226">
              <w:rPr>
                <w:rFonts w:ascii="Arial" w:hAnsi="Arial" w:cs="Arial"/>
                <w:color w:val="000000" w:themeColor="text1"/>
              </w:rPr>
              <w:t>272,536</w:t>
            </w:r>
          </w:p>
        </w:tc>
        <w:tc>
          <w:tcPr>
            <w:tcW w:w="2694" w:type="dxa"/>
            <w:shd w:val="clear" w:color="auto" w:fill="auto"/>
          </w:tcPr>
          <w:p w14:paraId="525629B7" w14:textId="3E7DDA1A" w:rsidR="00D8300C" w:rsidRPr="00474226" w:rsidRDefault="00A24036" w:rsidP="00D8300C">
            <w:pPr>
              <w:rPr>
                <w:rFonts w:ascii="Arial" w:hAnsi="Arial" w:cs="Arial"/>
                <w:color w:val="000000" w:themeColor="text1"/>
              </w:rPr>
            </w:pPr>
            <w:r w:rsidRPr="00474226">
              <w:rPr>
                <w:rFonts w:ascii="Arial" w:hAnsi="Arial" w:cs="Arial"/>
                <w:color w:val="000000" w:themeColor="text1"/>
              </w:rPr>
              <w:t xml:space="preserve">R </w:t>
            </w:r>
            <w:r w:rsidR="0053719D" w:rsidRPr="00474226">
              <w:rPr>
                <w:rFonts w:ascii="Arial" w:hAnsi="Arial" w:cs="Arial"/>
                <w:color w:val="000000" w:themeColor="text1"/>
              </w:rPr>
              <w:t>1,9</w:t>
            </w:r>
            <w:r w:rsidR="00474226" w:rsidRPr="00474226">
              <w:rPr>
                <w:rFonts w:ascii="Arial" w:hAnsi="Arial" w:cs="Arial"/>
                <w:color w:val="000000" w:themeColor="text1"/>
              </w:rPr>
              <w:t>79,335,001</w:t>
            </w:r>
          </w:p>
        </w:tc>
      </w:tr>
      <w:tr w:rsidR="00474226" w:rsidRPr="00474226" w14:paraId="37944CEB" w14:textId="77777777" w:rsidTr="00693FBD">
        <w:tc>
          <w:tcPr>
            <w:tcW w:w="2836" w:type="dxa"/>
            <w:shd w:val="clear" w:color="auto" w:fill="auto"/>
          </w:tcPr>
          <w:p w14:paraId="4F84D25F" w14:textId="77777777" w:rsidR="00914D65" w:rsidRPr="00474226" w:rsidRDefault="00914D65" w:rsidP="00914D65">
            <w:pPr>
              <w:spacing w:after="0" w:line="276" w:lineRule="auto"/>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TOTAL CAPITAL EXPENDITURE</w:t>
            </w:r>
          </w:p>
        </w:tc>
        <w:tc>
          <w:tcPr>
            <w:tcW w:w="1984" w:type="dxa"/>
            <w:shd w:val="clear" w:color="auto" w:fill="auto"/>
          </w:tcPr>
          <w:p w14:paraId="3587545D" w14:textId="7796548A" w:rsidR="00914D65" w:rsidRPr="00474226" w:rsidRDefault="007A0F7E" w:rsidP="00914D65">
            <w:pPr>
              <w:spacing w:after="0" w:line="276" w:lineRule="auto"/>
              <w:jc w:val="both"/>
              <w:rPr>
                <w:rFonts w:ascii="Arial" w:eastAsia="Calibri" w:hAnsi="Arial" w:cs="Arial"/>
                <w:bCs/>
                <w:color w:val="000000" w:themeColor="text1"/>
                <w:lang w:val="en-ZA"/>
              </w:rPr>
            </w:pPr>
            <w:r w:rsidRPr="00474226">
              <w:rPr>
                <w:rFonts w:ascii="Arial" w:hAnsi="Arial" w:cs="Arial"/>
                <w:color w:val="000000" w:themeColor="text1"/>
              </w:rPr>
              <w:t xml:space="preserve">R </w:t>
            </w:r>
            <w:r w:rsidR="003A11F1" w:rsidRPr="00474226">
              <w:rPr>
                <w:rFonts w:ascii="Arial" w:hAnsi="Arial" w:cs="Arial"/>
                <w:color w:val="000000" w:themeColor="text1"/>
              </w:rPr>
              <w:t>2</w:t>
            </w:r>
            <w:r w:rsidR="00953DB1" w:rsidRPr="00474226">
              <w:rPr>
                <w:rFonts w:ascii="Arial" w:hAnsi="Arial" w:cs="Arial"/>
                <w:color w:val="000000" w:themeColor="text1"/>
              </w:rPr>
              <w:t>12</w:t>
            </w:r>
            <w:r w:rsidR="00B628D9" w:rsidRPr="00474226">
              <w:rPr>
                <w:rFonts w:ascii="Arial" w:hAnsi="Arial" w:cs="Arial"/>
                <w:color w:val="000000" w:themeColor="text1"/>
              </w:rPr>
              <w:t>,952,800</w:t>
            </w:r>
          </w:p>
        </w:tc>
        <w:tc>
          <w:tcPr>
            <w:tcW w:w="2268" w:type="dxa"/>
            <w:shd w:val="clear" w:color="auto" w:fill="auto"/>
          </w:tcPr>
          <w:p w14:paraId="23BC4310" w14:textId="3B3C5521" w:rsidR="00914D65" w:rsidRPr="00474226" w:rsidRDefault="00A24036" w:rsidP="00914D65">
            <w:pPr>
              <w:spacing w:after="0" w:line="276" w:lineRule="auto"/>
              <w:jc w:val="both"/>
              <w:rPr>
                <w:rFonts w:ascii="Arial" w:eastAsia="Calibri" w:hAnsi="Arial" w:cs="Arial"/>
                <w:bCs/>
                <w:color w:val="000000" w:themeColor="text1"/>
                <w:lang w:val="en-ZA"/>
              </w:rPr>
            </w:pPr>
            <w:r w:rsidRPr="00474226">
              <w:rPr>
                <w:rFonts w:ascii="Arial" w:hAnsi="Arial" w:cs="Arial"/>
                <w:color w:val="000000" w:themeColor="text1"/>
              </w:rPr>
              <w:t xml:space="preserve">R </w:t>
            </w:r>
            <w:r w:rsidR="003A11F1" w:rsidRPr="00474226">
              <w:rPr>
                <w:rFonts w:ascii="Arial" w:hAnsi="Arial" w:cs="Arial"/>
                <w:color w:val="000000" w:themeColor="text1"/>
              </w:rPr>
              <w:t>200,</w:t>
            </w:r>
            <w:r w:rsidR="00B628D9" w:rsidRPr="00474226">
              <w:rPr>
                <w:rFonts w:ascii="Arial" w:hAnsi="Arial" w:cs="Arial"/>
                <w:color w:val="000000" w:themeColor="text1"/>
              </w:rPr>
              <w:t>429,500</w:t>
            </w:r>
          </w:p>
        </w:tc>
        <w:tc>
          <w:tcPr>
            <w:tcW w:w="2694" w:type="dxa"/>
            <w:shd w:val="clear" w:color="auto" w:fill="auto"/>
          </w:tcPr>
          <w:p w14:paraId="08657709" w14:textId="03EB7B05" w:rsidR="00914D65" w:rsidRPr="00474226" w:rsidRDefault="00A24036" w:rsidP="00914D65">
            <w:pPr>
              <w:spacing w:after="0" w:line="276" w:lineRule="auto"/>
              <w:jc w:val="both"/>
              <w:rPr>
                <w:rFonts w:ascii="Arial" w:eastAsia="Calibri" w:hAnsi="Arial" w:cs="Arial"/>
                <w:bCs/>
                <w:color w:val="000000" w:themeColor="text1"/>
                <w:lang w:val="en-ZA"/>
              </w:rPr>
            </w:pPr>
            <w:r w:rsidRPr="00474226">
              <w:rPr>
                <w:rFonts w:ascii="Arial" w:hAnsi="Arial" w:cs="Arial"/>
                <w:color w:val="000000" w:themeColor="text1"/>
              </w:rPr>
              <w:t xml:space="preserve">R </w:t>
            </w:r>
            <w:r w:rsidR="00667DAB" w:rsidRPr="00474226">
              <w:rPr>
                <w:rFonts w:ascii="Arial" w:hAnsi="Arial" w:cs="Arial"/>
                <w:color w:val="000000" w:themeColor="text1"/>
              </w:rPr>
              <w:t>210,587,300</w:t>
            </w:r>
          </w:p>
        </w:tc>
      </w:tr>
      <w:tr w:rsidR="00474226" w:rsidRPr="00474226" w14:paraId="7CB78D3E" w14:textId="77777777" w:rsidTr="00693FBD">
        <w:tc>
          <w:tcPr>
            <w:tcW w:w="2836" w:type="dxa"/>
            <w:shd w:val="clear" w:color="auto" w:fill="auto"/>
          </w:tcPr>
          <w:p w14:paraId="4F579322" w14:textId="77777777" w:rsidR="008F266E" w:rsidRPr="00474226" w:rsidRDefault="008F266E" w:rsidP="00303DBA">
            <w:pPr>
              <w:spacing w:after="0" w:line="276" w:lineRule="auto"/>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TOTAL OPEX AND CAPEX BUDGET</w:t>
            </w:r>
          </w:p>
        </w:tc>
        <w:tc>
          <w:tcPr>
            <w:tcW w:w="1984" w:type="dxa"/>
            <w:shd w:val="clear" w:color="auto" w:fill="auto"/>
          </w:tcPr>
          <w:p w14:paraId="6DB46F4B" w14:textId="16B139B3" w:rsidR="008F266E" w:rsidRPr="00474226" w:rsidRDefault="008F266E" w:rsidP="00303DBA">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 xml:space="preserve">R </w:t>
            </w:r>
            <w:r w:rsidR="001A2C3A" w:rsidRPr="00474226">
              <w:rPr>
                <w:rFonts w:ascii="Arial" w:eastAsia="Calibri" w:hAnsi="Arial" w:cs="Arial"/>
                <w:b/>
                <w:bCs/>
                <w:color w:val="000000" w:themeColor="text1"/>
                <w:lang w:val="en-ZA"/>
              </w:rPr>
              <w:t>2,</w:t>
            </w:r>
            <w:r w:rsidR="00B628D9" w:rsidRPr="00474226">
              <w:rPr>
                <w:rFonts w:ascii="Arial" w:eastAsia="Calibri" w:hAnsi="Arial" w:cs="Arial"/>
                <w:b/>
                <w:bCs/>
                <w:color w:val="000000" w:themeColor="text1"/>
                <w:lang w:val="en-ZA"/>
              </w:rPr>
              <w:t>020,990,234</w:t>
            </w:r>
          </w:p>
        </w:tc>
        <w:tc>
          <w:tcPr>
            <w:tcW w:w="2268" w:type="dxa"/>
            <w:shd w:val="clear" w:color="auto" w:fill="auto"/>
          </w:tcPr>
          <w:p w14:paraId="3E1E7852" w14:textId="65B58C99" w:rsidR="008F266E" w:rsidRPr="00474226" w:rsidRDefault="001168BA" w:rsidP="00303DBA">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R 2,</w:t>
            </w:r>
            <w:r w:rsidR="00B628D9" w:rsidRPr="00474226">
              <w:rPr>
                <w:rFonts w:ascii="Arial" w:eastAsia="Calibri" w:hAnsi="Arial" w:cs="Arial"/>
                <w:b/>
                <w:bCs/>
                <w:color w:val="000000" w:themeColor="text1"/>
                <w:lang w:val="en-ZA"/>
              </w:rPr>
              <w:t>107,702,036</w:t>
            </w:r>
          </w:p>
        </w:tc>
        <w:tc>
          <w:tcPr>
            <w:tcW w:w="2694" w:type="dxa"/>
            <w:shd w:val="clear" w:color="auto" w:fill="auto"/>
          </w:tcPr>
          <w:p w14:paraId="31FAC72B" w14:textId="58B6450D" w:rsidR="008F266E" w:rsidRPr="00474226" w:rsidRDefault="001168BA" w:rsidP="00303DBA">
            <w:pPr>
              <w:spacing w:after="0" w:line="276" w:lineRule="auto"/>
              <w:jc w:val="both"/>
              <w:rPr>
                <w:rFonts w:ascii="Arial" w:eastAsia="Calibri" w:hAnsi="Arial" w:cs="Arial"/>
                <w:b/>
                <w:bCs/>
                <w:color w:val="000000" w:themeColor="text1"/>
                <w:lang w:val="en-ZA"/>
              </w:rPr>
            </w:pPr>
            <w:r w:rsidRPr="00474226">
              <w:rPr>
                <w:rFonts w:ascii="Arial" w:eastAsia="Calibri" w:hAnsi="Arial" w:cs="Arial"/>
                <w:b/>
                <w:bCs/>
                <w:color w:val="000000" w:themeColor="text1"/>
                <w:lang w:val="en-ZA"/>
              </w:rPr>
              <w:t xml:space="preserve">R </w:t>
            </w:r>
            <w:r w:rsidR="00F878BE" w:rsidRPr="00474226">
              <w:rPr>
                <w:rFonts w:ascii="Arial" w:eastAsia="Calibri" w:hAnsi="Arial" w:cs="Arial"/>
                <w:b/>
                <w:bCs/>
                <w:color w:val="000000" w:themeColor="text1"/>
                <w:lang w:val="en-ZA"/>
              </w:rPr>
              <w:t>2,</w:t>
            </w:r>
            <w:r w:rsidR="00474226" w:rsidRPr="00474226">
              <w:rPr>
                <w:rFonts w:ascii="Arial" w:eastAsia="Calibri" w:hAnsi="Arial" w:cs="Arial"/>
                <w:b/>
                <w:bCs/>
                <w:color w:val="000000" w:themeColor="text1"/>
                <w:lang w:val="en-ZA"/>
              </w:rPr>
              <w:t>189,922,301</w:t>
            </w:r>
          </w:p>
        </w:tc>
      </w:tr>
    </w:tbl>
    <w:p w14:paraId="28B26E73" w14:textId="77777777" w:rsidR="00AD76AC" w:rsidRPr="00474226" w:rsidRDefault="00AD76AC" w:rsidP="00C601CF">
      <w:pPr>
        <w:spacing w:after="0" w:line="240" w:lineRule="auto"/>
        <w:ind w:left="1134"/>
        <w:jc w:val="both"/>
        <w:rPr>
          <w:rFonts w:ascii="Arial" w:eastAsia="Times New Roman" w:hAnsi="Arial" w:cs="Arial"/>
          <w:bCs/>
          <w:color w:val="000000" w:themeColor="text1"/>
          <w:sz w:val="24"/>
          <w:szCs w:val="24"/>
          <w:lang w:val="en-US"/>
        </w:rPr>
      </w:pPr>
    </w:p>
    <w:p w14:paraId="28E9B2D6" w14:textId="77777777" w:rsidR="00AD76AC" w:rsidRPr="00474226" w:rsidRDefault="00AD76AC" w:rsidP="00C601CF">
      <w:pPr>
        <w:spacing w:after="0" w:line="240" w:lineRule="auto"/>
        <w:ind w:right="-330"/>
        <w:jc w:val="both"/>
        <w:rPr>
          <w:rFonts w:ascii="Arial" w:eastAsia="Times New Roman" w:hAnsi="Arial" w:cs="Arial"/>
          <w:bCs/>
          <w:color w:val="000000" w:themeColor="text1"/>
          <w:sz w:val="24"/>
          <w:szCs w:val="24"/>
          <w:lang w:val="en-US"/>
        </w:rPr>
      </w:pPr>
    </w:p>
    <w:p w14:paraId="287E8E8A" w14:textId="77777777" w:rsidR="00D07790" w:rsidRPr="00474226" w:rsidRDefault="00D07790" w:rsidP="00C601CF">
      <w:pPr>
        <w:spacing w:after="0" w:line="240" w:lineRule="auto"/>
        <w:ind w:right="-330"/>
        <w:jc w:val="both"/>
        <w:rPr>
          <w:rFonts w:ascii="Arial" w:eastAsia="Times New Roman" w:hAnsi="Arial" w:cs="Arial"/>
          <w:b/>
          <w:bCs/>
          <w:color w:val="000000" w:themeColor="text1"/>
          <w:sz w:val="24"/>
          <w:szCs w:val="24"/>
          <w:lang w:val="en-US"/>
        </w:rPr>
      </w:pPr>
      <w:r w:rsidRPr="00474226">
        <w:rPr>
          <w:rFonts w:ascii="Arial" w:eastAsia="Times New Roman" w:hAnsi="Arial" w:cs="Arial"/>
          <w:b/>
          <w:bCs/>
          <w:color w:val="000000" w:themeColor="text1"/>
          <w:sz w:val="24"/>
          <w:szCs w:val="24"/>
          <w:lang w:val="en-US"/>
        </w:rPr>
        <w:t>GRANT ALLOCATIONS</w:t>
      </w:r>
    </w:p>
    <w:p w14:paraId="1A2F12F6" w14:textId="77777777" w:rsidR="00D07790" w:rsidRPr="00474226" w:rsidRDefault="00D07790" w:rsidP="00C601CF">
      <w:pPr>
        <w:spacing w:after="0" w:line="240" w:lineRule="auto"/>
        <w:ind w:right="-330"/>
        <w:jc w:val="both"/>
        <w:rPr>
          <w:rFonts w:ascii="Arial" w:eastAsia="Times New Roman" w:hAnsi="Arial" w:cs="Arial"/>
          <w:bCs/>
          <w:color w:val="000000" w:themeColor="text1"/>
          <w:sz w:val="24"/>
          <w:szCs w:val="24"/>
          <w:lang w:val="en-US"/>
        </w:rPr>
      </w:pPr>
    </w:p>
    <w:p w14:paraId="1AF71E24" w14:textId="7C903248" w:rsidR="00AD76AC" w:rsidRPr="00474226" w:rsidRDefault="00560F1F" w:rsidP="00C601CF">
      <w:pPr>
        <w:spacing w:after="0" w:line="36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The total grant allocations </w:t>
      </w:r>
      <w:r w:rsidR="00AD76AC" w:rsidRPr="00474226">
        <w:rPr>
          <w:rFonts w:ascii="Arial" w:eastAsia="Times New Roman" w:hAnsi="Arial" w:cs="Arial"/>
          <w:bCs/>
          <w:color w:val="000000" w:themeColor="text1"/>
          <w:sz w:val="24"/>
          <w:szCs w:val="24"/>
          <w:lang w:val="en-US" w:eastAsia="en-ZA"/>
        </w:rPr>
        <w:t>for Gr</w:t>
      </w:r>
      <w:r w:rsidR="00B30C62" w:rsidRPr="00474226">
        <w:rPr>
          <w:rFonts w:ascii="Arial" w:eastAsia="Times New Roman" w:hAnsi="Arial" w:cs="Arial"/>
          <w:bCs/>
          <w:color w:val="000000" w:themeColor="text1"/>
          <w:sz w:val="24"/>
          <w:szCs w:val="24"/>
          <w:lang w:val="en-US" w:eastAsia="en-ZA"/>
        </w:rPr>
        <w:t xml:space="preserve">eater Tzaneen Municipality in </w:t>
      </w:r>
      <w:r w:rsidR="008F266E" w:rsidRPr="00474226">
        <w:rPr>
          <w:rFonts w:ascii="Arial" w:eastAsia="Times New Roman" w:hAnsi="Arial" w:cs="Arial"/>
          <w:bCs/>
          <w:color w:val="000000" w:themeColor="text1"/>
          <w:sz w:val="24"/>
          <w:szCs w:val="24"/>
          <w:lang w:val="en-US" w:eastAsia="en-ZA"/>
        </w:rPr>
        <w:t>the 202</w:t>
      </w:r>
      <w:r w:rsidR="0018362E" w:rsidRPr="00474226">
        <w:rPr>
          <w:rFonts w:ascii="Arial" w:eastAsia="Times New Roman" w:hAnsi="Arial" w:cs="Arial"/>
          <w:bCs/>
          <w:color w:val="000000" w:themeColor="text1"/>
          <w:sz w:val="24"/>
          <w:szCs w:val="24"/>
          <w:lang w:val="en-US" w:eastAsia="en-ZA"/>
        </w:rPr>
        <w:t>4</w:t>
      </w:r>
      <w:r w:rsidR="008F266E" w:rsidRPr="00474226">
        <w:rPr>
          <w:rFonts w:ascii="Arial" w:eastAsia="Times New Roman" w:hAnsi="Arial" w:cs="Arial"/>
          <w:bCs/>
          <w:color w:val="000000" w:themeColor="text1"/>
          <w:sz w:val="24"/>
          <w:szCs w:val="24"/>
          <w:lang w:val="en-US" w:eastAsia="en-ZA"/>
        </w:rPr>
        <w:t>/202</w:t>
      </w:r>
      <w:r w:rsidR="0018362E" w:rsidRPr="00474226">
        <w:rPr>
          <w:rFonts w:ascii="Arial" w:eastAsia="Times New Roman" w:hAnsi="Arial" w:cs="Arial"/>
          <w:bCs/>
          <w:color w:val="000000" w:themeColor="text1"/>
          <w:sz w:val="24"/>
          <w:szCs w:val="24"/>
          <w:lang w:val="en-US" w:eastAsia="en-ZA"/>
        </w:rPr>
        <w:t>5</w:t>
      </w:r>
      <w:r w:rsidRPr="00474226">
        <w:rPr>
          <w:rFonts w:ascii="Arial" w:eastAsia="Times New Roman" w:hAnsi="Arial" w:cs="Arial"/>
          <w:bCs/>
          <w:color w:val="000000" w:themeColor="text1"/>
          <w:sz w:val="24"/>
          <w:szCs w:val="24"/>
          <w:lang w:val="en-US" w:eastAsia="en-ZA"/>
        </w:rPr>
        <w:t xml:space="preserve"> financial year </w:t>
      </w:r>
      <w:r w:rsidR="00E67803" w:rsidRPr="00474226">
        <w:rPr>
          <w:rFonts w:ascii="Arial" w:eastAsia="Times New Roman" w:hAnsi="Arial" w:cs="Arial"/>
          <w:bCs/>
          <w:color w:val="000000" w:themeColor="text1"/>
          <w:sz w:val="24"/>
          <w:szCs w:val="24"/>
          <w:lang w:val="en-US" w:eastAsia="en-ZA"/>
        </w:rPr>
        <w:t>which are in</w:t>
      </w:r>
      <w:r w:rsidR="00B30C62" w:rsidRPr="00474226">
        <w:rPr>
          <w:rFonts w:ascii="Arial" w:eastAsia="Times New Roman" w:hAnsi="Arial" w:cs="Arial"/>
          <w:bCs/>
          <w:color w:val="000000" w:themeColor="text1"/>
          <w:sz w:val="24"/>
          <w:szCs w:val="24"/>
          <w:lang w:val="en-US" w:eastAsia="en-ZA"/>
        </w:rPr>
        <w:t xml:space="preserve"> line with D</w:t>
      </w:r>
      <w:r w:rsidR="00C4395B" w:rsidRPr="00474226">
        <w:rPr>
          <w:rFonts w:ascii="Arial" w:eastAsia="Times New Roman" w:hAnsi="Arial" w:cs="Arial"/>
          <w:bCs/>
          <w:color w:val="000000" w:themeColor="text1"/>
          <w:sz w:val="24"/>
          <w:szCs w:val="24"/>
          <w:lang w:val="en-US" w:eastAsia="en-ZA"/>
        </w:rPr>
        <w:t>ivision</w:t>
      </w:r>
      <w:r w:rsidR="00D935A8" w:rsidRPr="00474226">
        <w:rPr>
          <w:rFonts w:ascii="Arial" w:eastAsia="Times New Roman" w:hAnsi="Arial" w:cs="Arial"/>
          <w:bCs/>
          <w:color w:val="000000" w:themeColor="text1"/>
          <w:sz w:val="24"/>
          <w:szCs w:val="24"/>
          <w:lang w:val="en-US" w:eastAsia="en-ZA"/>
        </w:rPr>
        <w:t xml:space="preserve"> of</w:t>
      </w:r>
      <w:r w:rsidR="00C4395B" w:rsidRPr="00474226">
        <w:rPr>
          <w:rFonts w:ascii="Arial" w:eastAsia="Times New Roman" w:hAnsi="Arial" w:cs="Arial"/>
          <w:bCs/>
          <w:color w:val="000000" w:themeColor="text1"/>
          <w:sz w:val="24"/>
          <w:szCs w:val="24"/>
          <w:lang w:val="en-US" w:eastAsia="en-ZA"/>
        </w:rPr>
        <w:t xml:space="preserve"> revenue act</w:t>
      </w:r>
      <w:r w:rsidR="00AD76AC" w:rsidRPr="00474226">
        <w:rPr>
          <w:rFonts w:ascii="Arial" w:eastAsia="Times New Roman" w:hAnsi="Arial" w:cs="Arial"/>
          <w:bCs/>
          <w:color w:val="000000" w:themeColor="text1"/>
          <w:sz w:val="24"/>
          <w:szCs w:val="24"/>
          <w:lang w:val="en-US" w:eastAsia="en-ZA"/>
        </w:rPr>
        <w:t xml:space="preserve"> are reflected below:</w:t>
      </w:r>
    </w:p>
    <w:p w14:paraId="154C1C74" w14:textId="77777777" w:rsidR="00942C73" w:rsidRPr="00474226" w:rsidRDefault="00942C73" w:rsidP="00C601CF">
      <w:pPr>
        <w:spacing w:after="0" w:line="360" w:lineRule="auto"/>
        <w:ind w:right="-330"/>
        <w:jc w:val="both"/>
        <w:rPr>
          <w:rFonts w:ascii="Arial" w:eastAsia="Times New Roman" w:hAnsi="Arial" w:cs="Arial"/>
          <w:bCs/>
          <w:color w:val="000000" w:themeColor="text1"/>
          <w:sz w:val="24"/>
          <w:szCs w:val="24"/>
          <w:lang w:val="en-US" w:eastAsia="en-ZA"/>
        </w:rPr>
      </w:pPr>
    </w:p>
    <w:tbl>
      <w:tblPr>
        <w:tblW w:w="9371" w:type="dxa"/>
        <w:tblInd w:w="93" w:type="dxa"/>
        <w:tblLayout w:type="fixed"/>
        <w:tblLook w:val="04A0" w:firstRow="1" w:lastRow="0" w:firstColumn="1" w:lastColumn="0" w:noHBand="0" w:noVBand="1"/>
      </w:tblPr>
      <w:tblGrid>
        <w:gridCol w:w="2425"/>
        <w:gridCol w:w="2410"/>
        <w:gridCol w:w="2268"/>
        <w:gridCol w:w="2268"/>
      </w:tblGrid>
      <w:tr w:rsidR="00474226" w:rsidRPr="00474226" w14:paraId="3B1F4ABE" w14:textId="77777777" w:rsidTr="00967CC9">
        <w:trPr>
          <w:trHeight w:val="315"/>
        </w:trPr>
        <w:tc>
          <w:tcPr>
            <w:tcW w:w="9371" w:type="dxa"/>
            <w:gridSpan w:val="4"/>
            <w:tcBorders>
              <w:top w:val="single" w:sz="8" w:space="0" w:color="auto"/>
              <w:left w:val="single" w:sz="8" w:space="0" w:color="auto"/>
              <w:bottom w:val="single" w:sz="4" w:space="0" w:color="auto"/>
              <w:right w:val="single" w:sz="8" w:space="0" w:color="000000"/>
            </w:tcBorders>
          </w:tcPr>
          <w:p w14:paraId="23EC4BA9" w14:textId="4CA5F0D3" w:rsidR="00AD76AC" w:rsidRPr="00474226" w:rsidRDefault="00AD76AC" w:rsidP="00C601CF">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 xml:space="preserve">                                     </w:t>
            </w:r>
            <w:r w:rsidR="00C70E9E" w:rsidRPr="00474226">
              <w:rPr>
                <w:rFonts w:ascii="Arial" w:eastAsia="Times New Roman" w:hAnsi="Arial" w:cs="Arial"/>
                <w:b/>
                <w:bCs/>
                <w:color w:val="000000" w:themeColor="text1"/>
                <w:sz w:val="24"/>
                <w:szCs w:val="24"/>
                <w:lang w:val="en-US" w:eastAsia="en-ZA"/>
              </w:rPr>
              <w:t xml:space="preserve">MUNICIPAL </w:t>
            </w:r>
            <w:r w:rsidR="00054C8F" w:rsidRPr="00474226">
              <w:rPr>
                <w:rFonts w:ascii="Arial" w:eastAsia="Times New Roman" w:hAnsi="Arial" w:cs="Arial"/>
                <w:b/>
                <w:bCs/>
                <w:color w:val="000000" w:themeColor="text1"/>
                <w:sz w:val="24"/>
                <w:szCs w:val="24"/>
                <w:lang w:val="en-US" w:eastAsia="en-ZA"/>
              </w:rPr>
              <w:t>GRANTS FOR</w:t>
            </w:r>
            <w:r w:rsidR="008F266E" w:rsidRPr="00474226">
              <w:rPr>
                <w:rFonts w:ascii="Arial" w:eastAsia="Times New Roman" w:hAnsi="Arial" w:cs="Arial"/>
                <w:b/>
                <w:bCs/>
                <w:color w:val="000000" w:themeColor="text1"/>
                <w:sz w:val="24"/>
                <w:szCs w:val="24"/>
                <w:lang w:val="en-US" w:eastAsia="en-ZA"/>
              </w:rPr>
              <w:t xml:space="preserve">  202</w:t>
            </w:r>
            <w:r w:rsidR="001C5A2F" w:rsidRPr="00474226">
              <w:rPr>
                <w:rFonts w:ascii="Arial" w:eastAsia="Times New Roman" w:hAnsi="Arial" w:cs="Arial"/>
                <w:b/>
                <w:bCs/>
                <w:color w:val="000000" w:themeColor="text1"/>
                <w:sz w:val="24"/>
                <w:szCs w:val="24"/>
                <w:lang w:val="en-US" w:eastAsia="en-ZA"/>
              </w:rPr>
              <w:t>4</w:t>
            </w:r>
            <w:r w:rsidR="008F266E" w:rsidRPr="00474226">
              <w:rPr>
                <w:rFonts w:ascii="Arial" w:eastAsia="Times New Roman" w:hAnsi="Arial" w:cs="Arial"/>
                <w:b/>
                <w:bCs/>
                <w:color w:val="000000" w:themeColor="text1"/>
                <w:sz w:val="24"/>
                <w:szCs w:val="24"/>
                <w:lang w:val="en-US" w:eastAsia="en-ZA"/>
              </w:rPr>
              <w:t>/202</w:t>
            </w:r>
            <w:r w:rsidR="001C5A2F" w:rsidRPr="00474226">
              <w:rPr>
                <w:rFonts w:ascii="Arial" w:eastAsia="Times New Roman" w:hAnsi="Arial" w:cs="Arial"/>
                <w:b/>
                <w:bCs/>
                <w:color w:val="000000" w:themeColor="text1"/>
                <w:sz w:val="24"/>
                <w:szCs w:val="24"/>
                <w:lang w:val="en-US" w:eastAsia="en-ZA"/>
              </w:rPr>
              <w:t>5</w:t>
            </w:r>
            <w:r w:rsidR="00FB4937" w:rsidRPr="00474226">
              <w:rPr>
                <w:rFonts w:ascii="Arial" w:eastAsia="Times New Roman" w:hAnsi="Arial" w:cs="Arial"/>
                <w:b/>
                <w:bCs/>
                <w:color w:val="000000" w:themeColor="text1"/>
                <w:sz w:val="24"/>
                <w:szCs w:val="24"/>
                <w:lang w:val="en-US" w:eastAsia="en-ZA"/>
              </w:rPr>
              <w:t>- 2026/2027</w:t>
            </w:r>
          </w:p>
        </w:tc>
      </w:tr>
      <w:tr w:rsidR="00474226" w:rsidRPr="00474226" w14:paraId="7AC73687" w14:textId="77777777" w:rsidTr="00967CC9">
        <w:trPr>
          <w:trHeight w:val="585"/>
        </w:trPr>
        <w:tc>
          <w:tcPr>
            <w:tcW w:w="242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832547" w14:textId="77777777" w:rsidR="00AD76AC" w:rsidRPr="00474226" w:rsidRDefault="00AD76AC" w:rsidP="00C601CF">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39EEDB" w14:textId="0E7F50B0" w:rsidR="00AD76AC" w:rsidRPr="00474226" w:rsidRDefault="008F266E" w:rsidP="00AC59E7">
            <w:pPr>
              <w:spacing w:after="0" w:line="240" w:lineRule="auto"/>
              <w:ind w:right="-330"/>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1C5A2F" w:rsidRPr="00474226">
              <w:rPr>
                <w:rFonts w:ascii="Arial" w:eastAsia="Times New Roman" w:hAnsi="Arial" w:cs="Arial"/>
                <w:b/>
                <w:bCs/>
                <w:color w:val="000000" w:themeColor="text1"/>
                <w:sz w:val="24"/>
                <w:szCs w:val="24"/>
                <w:lang w:val="en-US" w:eastAsia="en-ZA"/>
              </w:rPr>
              <w:t>4</w:t>
            </w:r>
            <w:r w:rsidRPr="00474226">
              <w:rPr>
                <w:rFonts w:ascii="Arial" w:eastAsia="Times New Roman" w:hAnsi="Arial" w:cs="Arial"/>
                <w:b/>
                <w:bCs/>
                <w:color w:val="000000" w:themeColor="text1"/>
                <w:sz w:val="24"/>
                <w:szCs w:val="24"/>
                <w:lang w:val="en-US" w:eastAsia="en-ZA"/>
              </w:rPr>
              <w:t>/202</w:t>
            </w:r>
            <w:r w:rsidR="001C5A2F" w:rsidRPr="00474226">
              <w:rPr>
                <w:rFonts w:ascii="Arial" w:eastAsia="Times New Roman" w:hAnsi="Arial" w:cs="Arial"/>
                <w:b/>
                <w:bCs/>
                <w:color w:val="000000" w:themeColor="text1"/>
                <w:sz w:val="24"/>
                <w:szCs w:val="24"/>
                <w:lang w:val="en-US" w:eastAsia="en-ZA"/>
              </w:rPr>
              <w:t>5</w:t>
            </w:r>
          </w:p>
          <w:p w14:paraId="4D8D2E23" w14:textId="77777777" w:rsidR="00AD76AC" w:rsidRPr="00474226" w:rsidRDefault="00AD76AC" w:rsidP="00C601CF">
            <w:pPr>
              <w:spacing w:after="0" w:line="240" w:lineRule="auto"/>
              <w:ind w:right="-330"/>
              <w:jc w:val="center"/>
              <w:rPr>
                <w:rFonts w:ascii="Arial" w:eastAsia="Times New Roman" w:hAnsi="Arial" w:cs="Arial"/>
                <w:b/>
                <w:bCs/>
                <w:color w:val="000000" w:themeColor="text1"/>
                <w:sz w:val="24"/>
                <w:szCs w:val="24"/>
                <w:lang w:val="en-US" w:eastAsia="en-ZA"/>
              </w:rPr>
            </w:pP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14:paraId="720E0581" w14:textId="77777777" w:rsidR="00862553" w:rsidRPr="00474226" w:rsidRDefault="00862553" w:rsidP="00C601CF">
            <w:pPr>
              <w:spacing w:after="0" w:line="240" w:lineRule="auto"/>
              <w:ind w:right="-330"/>
              <w:jc w:val="center"/>
              <w:rPr>
                <w:rFonts w:ascii="Arial" w:eastAsia="Times New Roman" w:hAnsi="Arial" w:cs="Arial"/>
                <w:b/>
                <w:bCs/>
                <w:color w:val="000000" w:themeColor="text1"/>
                <w:sz w:val="24"/>
                <w:szCs w:val="24"/>
                <w:lang w:val="en-US" w:eastAsia="en-ZA"/>
              </w:rPr>
            </w:pPr>
          </w:p>
          <w:p w14:paraId="3C2FC1BE" w14:textId="5F20E437" w:rsidR="00B30C62" w:rsidRPr="00474226" w:rsidRDefault="008F266E" w:rsidP="00C601CF">
            <w:pPr>
              <w:spacing w:after="0" w:line="240" w:lineRule="auto"/>
              <w:ind w:right="-330"/>
              <w:jc w:val="center"/>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FB4937" w:rsidRPr="00474226">
              <w:rPr>
                <w:rFonts w:ascii="Arial" w:eastAsia="Times New Roman" w:hAnsi="Arial" w:cs="Arial"/>
                <w:b/>
                <w:bCs/>
                <w:color w:val="000000" w:themeColor="text1"/>
                <w:sz w:val="24"/>
                <w:szCs w:val="24"/>
                <w:lang w:val="en-US" w:eastAsia="en-ZA"/>
              </w:rPr>
              <w:t>5</w:t>
            </w:r>
            <w:r w:rsidRPr="00474226">
              <w:rPr>
                <w:rFonts w:ascii="Arial" w:eastAsia="Times New Roman" w:hAnsi="Arial" w:cs="Arial"/>
                <w:b/>
                <w:bCs/>
                <w:color w:val="000000" w:themeColor="text1"/>
                <w:sz w:val="24"/>
                <w:szCs w:val="24"/>
                <w:lang w:val="en-US" w:eastAsia="en-ZA"/>
              </w:rPr>
              <w:t>/202</w:t>
            </w:r>
            <w:r w:rsidR="00FB4937" w:rsidRPr="00474226">
              <w:rPr>
                <w:rFonts w:ascii="Arial" w:eastAsia="Times New Roman" w:hAnsi="Arial" w:cs="Arial"/>
                <w:b/>
                <w:bCs/>
                <w:color w:val="000000" w:themeColor="text1"/>
                <w:sz w:val="24"/>
                <w:szCs w:val="24"/>
                <w:lang w:val="en-US" w:eastAsia="en-ZA"/>
              </w:rPr>
              <w:t>6</w:t>
            </w:r>
          </w:p>
          <w:p w14:paraId="0F286560" w14:textId="77777777" w:rsidR="00AD76AC" w:rsidRPr="00474226" w:rsidRDefault="00AD76AC" w:rsidP="00C601CF">
            <w:pPr>
              <w:spacing w:after="0" w:line="240" w:lineRule="auto"/>
              <w:ind w:right="-330"/>
              <w:jc w:val="center"/>
              <w:rPr>
                <w:rFonts w:ascii="Arial" w:eastAsia="Times New Roman" w:hAnsi="Arial" w:cs="Arial"/>
                <w:b/>
                <w:bCs/>
                <w:color w:val="000000" w:themeColor="text1"/>
                <w:sz w:val="24"/>
                <w:szCs w:val="24"/>
                <w:lang w:val="en-US" w:eastAsia="en-ZA"/>
              </w:rPr>
            </w:pP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14:paraId="6247C121" w14:textId="77777777" w:rsidR="00862553" w:rsidRPr="00474226" w:rsidRDefault="00862553" w:rsidP="00C601CF">
            <w:pPr>
              <w:spacing w:after="0" w:line="240" w:lineRule="auto"/>
              <w:ind w:right="-330"/>
              <w:jc w:val="center"/>
              <w:rPr>
                <w:rFonts w:ascii="Arial" w:eastAsia="Times New Roman" w:hAnsi="Arial" w:cs="Arial"/>
                <w:b/>
                <w:bCs/>
                <w:color w:val="000000" w:themeColor="text1"/>
                <w:sz w:val="24"/>
                <w:szCs w:val="24"/>
                <w:lang w:val="en-US" w:eastAsia="en-ZA"/>
              </w:rPr>
            </w:pPr>
          </w:p>
          <w:p w14:paraId="1BC5D511" w14:textId="7D967A33" w:rsidR="00B30C62" w:rsidRPr="00474226" w:rsidRDefault="008F266E" w:rsidP="00C601CF">
            <w:pPr>
              <w:spacing w:after="0" w:line="240" w:lineRule="auto"/>
              <w:ind w:right="-330"/>
              <w:jc w:val="center"/>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FB4937" w:rsidRPr="00474226">
              <w:rPr>
                <w:rFonts w:ascii="Arial" w:eastAsia="Times New Roman" w:hAnsi="Arial" w:cs="Arial"/>
                <w:b/>
                <w:bCs/>
                <w:color w:val="000000" w:themeColor="text1"/>
                <w:sz w:val="24"/>
                <w:szCs w:val="24"/>
                <w:lang w:val="en-US" w:eastAsia="en-ZA"/>
              </w:rPr>
              <w:t>6</w:t>
            </w:r>
            <w:r w:rsidRPr="00474226">
              <w:rPr>
                <w:rFonts w:ascii="Arial" w:eastAsia="Times New Roman" w:hAnsi="Arial" w:cs="Arial"/>
                <w:b/>
                <w:bCs/>
                <w:color w:val="000000" w:themeColor="text1"/>
                <w:sz w:val="24"/>
                <w:szCs w:val="24"/>
                <w:lang w:val="en-US" w:eastAsia="en-ZA"/>
              </w:rPr>
              <w:t>/202</w:t>
            </w:r>
            <w:r w:rsidR="00FB4937" w:rsidRPr="00474226">
              <w:rPr>
                <w:rFonts w:ascii="Arial" w:eastAsia="Times New Roman" w:hAnsi="Arial" w:cs="Arial"/>
                <w:b/>
                <w:bCs/>
                <w:color w:val="000000" w:themeColor="text1"/>
                <w:sz w:val="24"/>
                <w:szCs w:val="24"/>
                <w:lang w:val="en-US" w:eastAsia="en-ZA"/>
              </w:rPr>
              <w:t>7</w:t>
            </w:r>
          </w:p>
          <w:p w14:paraId="0F8BA1B4" w14:textId="77777777" w:rsidR="00AD76AC" w:rsidRPr="00474226" w:rsidRDefault="00AD76AC" w:rsidP="00C601CF">
            <w:pPr>
              <w:spacing w:after="0" w:line="240" w:lineRule="auto"/>
              <w:ind w:right="-330"/>
              <w:jc w:val="center"/>
              <w:rPr>
                <w:rFonts w:ascii="Arial" w:eastAsia="Times New Roman" w:hAnsi="Arial" w:cs="Arial"/>
                <w:b/>
                <w:color w:val="000000" w:themeColor="text1"/>
                <w:sz w:val="24"/>
                <w:szCs w:val="24"/>
                <w:lang w:val="en-US"/>
              </w:rPr>
            </w:pPr>
          </w:p>
        </w:tc>
      </w:tr>
      <w:tr w:rsidR="00474226" w:rsidRPr="00474226" w14:paraId="6C2F3AFE" w14:textId="77777777" w:rsidTr="00E4692B">
        <w:trPr>
          <w:trHeight w:val="80"/>
        </w:trPr>
        <w:tc>
          <w:tcPr>
            <w:tcW w:w="242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83C577" w14:textId="77777777" w:rsidR="002131D2" w:rsidRPr="00474226" w:rsidRDefault="002131D2" w:rsidP="002131D2">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EQUITABLE SHARE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39C7" w14:textId="73615AC7" w:rsidR="002131D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131D2" w:rsidRPr="00474226">
              <w:rPr>
                <w:rFonts w:ascii="Arial" w:hAnsi="Arial" w:cs="Arial"/>
                <w:color w:val="000000" w:themeColor="text1"/>
              </w:rPr>
              <w:t>5</w:t>
            </w:r>
            <w:r w:rsidR="00FB4937" w:rsidRPr="00474226">
              <w:rPr>
                <w:rFonts w:ascii="Arial" w:hAnsi="Arial" w:cs="Arial"/>
                <w:color w:val="000000" w:themeColor="text1"/>
              </w:rPr>
              <w:t>51,492,000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C244F12" w14:textId="032F8080" w:rsidR="002131D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4D07E9" w:rsidRPr="00474226">
              <w:rPr>
                <w:rFonts w:ascii="Arial" w:hAnsi="Arial" w:cs="Arial"/>
                <w:color w:val="000000" w:themeColor="text1"/>
              </w:rPr>
              <w:t>554,078</w:t>
            </w:r>
            <w:r w:rsidR="002131D2"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vAlign w:val="bottom"/>
          </w:tcPr>
          <w:p w14:paraId="47FA6631" w14:textId="5FBD4E20" w:rsidR="002131D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4D07E9" w:rsidRPr="00474226">
              <w:rPr>
                <w:rFonts w:ascii="Arial" w:hAnsi="Arial" w:cs="Arial"/>
                <w:color w:val="000000" w:themeColor="text1"/>
              </w:rPr>
              <w:t>544,491</w:t>
            </w:r>
            <w:r w:rsidR="002131D2" w:rsidRPr="00474226">
              <w:rPr>
                <w:rFonts w:ascii="Arial" w:hAnsi="Arial" w:cs="Arial"/>
                <w:color w:val="000000" w:themeColor="text1"/>
              </w:rPr>
              <w:t>,000</w:t>
            </w:r>
          </w:p>
        </w:tc>
      </w:tr>
      <w:tr w:rsidR="00474226" w:rsidRPr="00474226" w14:paraId="02D08587" w14:textId="77777777" w:rsidTr="009610E1">
        <w:trPr>
          <w:trHeight w:val="215"/>
        </w:trPr>
        <w:tc>
          <w:tcPr>
            <w:tcW w:w="2425" w:type="dxa"/>
            <w:tcBorders>
              <w:top w:val="nil"/>
              <w:left w:val="single" w:sz="8" w:space="0" w:color="auto"/>
              <w:bottom w:val="single" w:sz="8" w:space="0" w:color="auto"/>
              <w:right w:val="single" w:sz="8" w:space="0" w:color="auto"/>
            </w:tcBorders>
            <w:shd w:val="clear" w:color="auto" w:fill="auto"/>
            <w:noWrap/>
            <w:vAlign w:val="center"/>
            <w:hideMark/>
          </w:tcPr>
          <w:p w14:paraId="6AF71044" w14:textId="77777777" w:rsidR="00EA33F4" w:rsidRPr="00474226" w:rsidRDefault="00EA33F4" w:rsidP="00EA33F4">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MIG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7F36C" w14:textId="055826E7" w:rsidR="00EA33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EA33F4" w:rsidRPr="00474226">
              <w:rPr>
                <w:rFonts w:ascii="Arial" w:hAnsi="Arial" w:cs="Arial"/>
                <w:color w:val="000000" w:themeColor="text1"/>
              </w:rPr>
              <w:t>11</w:t>
            </w:r>
            <w:r w:rsidR="003D2DA6" w:rsidRPr="00474226">
              <w:rPr>
                <w:rFonts w:ascii="Arial" w:hAnsi="Arial" w:cs="Arial"/>
                <w:color w:val="000000" w:themeColor="text1"/>
              </w:rPr>
              <w:t>1,062</w:t>
            </w:r>
            <w:r w:rsidR="00EA33F4"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4822D4F" w14:textId="7782AC33" w:rsidR="00EA33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EA33F4" w:rsidRPr="00474226">
              <w:rPr>
                <w:rFonts w:ascii="Arial" w:hAnsi="Arial" w:cs="Arial"/>
                <w:color w:val="000000" w:themeColor="text1"/>
              </w:rPr>
              <w:t>11</w:t>
            </w:r>
            <w:r w:rsidR="00DD213E" w:rsidRPr="00474226">
              <w:rPr>
                <w:rFonts w:ascii="Arial" w:hAnsi="Arial" w:cs="Arial"/>
                <w:color w:val="000000" w:themeColor="text1"/>
              </w:rPr>
              <w:t>6,610</w:t>
            </w:r>
            <w:r w:rsidR="00EA33F4"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vAlign w:val="bottom"/>
          </w:tcPr>
          <w:p w14:paraId="0110F696" w14:textId="0155DE32" w:rsidR="00EA33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EA33F4" w:rsidRPr="00474226">
              <w:rPr>
                <w:rFonts w:ascii="Arial" w:hAnsi="Arial" w:cs="Arial"/>
                <w:color w:val="000000" w:themeColor="text1"/>
              </w:rPr>
              <w:t>1</w:t>
            </w:r>
            <w:r w:rsidR="00DD213E" w:rsidRPr="00474226">
              <w:rPr>
                <w:rFonts w:ascii="Arial" w:hAnsi="Arial" w:cs="Arial"/>
                <w:color w:val="000000" w:themeColor="text1"/>
              </w:rPr>
              <w:t>26,934</w:t>
            </w:r>
            <w:r w:rsidR="00EA33F4" w:rsidRPr="00474226">
              <w:rPr>
                <w:rFonts w:ascii="Arial" w:hAnsi="Arial" w:cs="Arial"/>
                <w:color w:val="000000" w:themeColor="text1"/>
              </w:rPr>
              <w:t>,000</w:t>
            </w:r>
          </w:p>
        </w:tc>
      </w:tr>
      <w:tr w:rsidR="00474226" w:rsidRPr="00474226" w14:paraId="633FBA45" w14:textId="77777777" w:rsidTr="003E3BED">
        <w:trPr>
          <w:trHeight w:val="325"/>
        </w:trPr>
        <w:tc>
          <w:tcPr>
            <w:tcW w:w="2425" w:type="dxa"/>
            <w:tcBorders>
              <w:top w:val="nil"/>
              <w:left w:val="single" w:sz="8" w:space="0" w:color="auto"/>
              <w:bottom w:val="single" w:sz="8" w:space="0" w:color="auto"/>
              <w:right w:val="single" w:sz="8" w:space="0" w:color="auto"/>
            </w:tcBorders>
            <w:shd w:val="clear" w:color="auto" w:fill="auto"/>
            <w:noWrap/>
            <w:vAlign w:val="center"/>
            <w:hideMark/>
          </w:tcPr>
          <w:p w14:paraId="149F45E4" w14:textId="77777777" w:rsidR="00CF4E62" w:rsidRPr="00474226" w:rsidRDefault="00CF4E62" w:rsidP="00CF4E62">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FMG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9037F" w14:textId="3A9CB4A5" w:rsidR="00CF4E6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00CF4E62" w:rsidRPr="00474226">
              <w:rPr>
                <w:rFonts w:ascii="Arial" w:hAnsi="Arial" w:cs="Arial"/>
                <w:color w:val="000000" w:themeColor="text1"/>
              </w:rPr>
              <w:t>2,000,000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517EB27" w14:textId="3F9B06B5" w:rsidR="00CF4E6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00CF4E62" w:rsidRPr="00474226">
              <w:rPr>
                <w:rFonts w:ascii="Arial" w:hAnsi="Arial" w:cs="Arial"/>
                <w:color w:val="000000" w:themeColor="text1"/>
              </w:rPr>
              <w:t>2,000,000</w:t>
            </w:r>
          </w:p>
        </w:tc>
        <w:tc>
          <w:tcPr>
            <w:tcW w:w="2268" w:type="dxa"/>
            <w:tcBorders>
              <w:top w:val="single" w:sz="4" w:space="0" w:color="auto"/>
              <w:left w:val="nil"/>
              <w:bottom w:val="single" w:sz="4" w:space="0" w:color="auto"/>
              <w:right w:val="single" w:sz="4" w:space="0" w:color="auto"/>
            </w:tcBorders>
            <w:shd w:val="clear" w:color="auto" w:fill="auto"/>
            <w:vAlign w:val="bottom"/>
          </w:tcPr>
          <w:p w14:paraId="71A50863" w14:textId="01F211DD" w:rsidR="00CF4E6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00CF4E62" w:rsidRPr="00474226">
              <w:rPr>
                <w:rFonts w:ascii="Arial" w:hAnsi="Arial" w:cs="Arial"/>
                <w:color w:val="000000" w:themeColor="text1"/>
              </w:rPr>
              <w:t>2,</w:t>
            </w:r>
            <w:r w:rsidR="000E7725" w:rsidRPr="00474226">
              <w:rPr>
                <w:rFonts w:ascii="Arial" w:hAnsi="Arial" w:cs="Arial"/>
                <w:color w:val="000000" w:themeColor="text1"/>
              </w:rPr>
              <w:t>1</w:t>
            </w:r>
            <w:r w:rsidR="00CF4E62" w:rsidRPr="00474226">
              <w:rPr>
                <w:rFonts w:ascii="Arial" w:hAnsi="Arial" w:cs="Arial"/>
                <w:color w:val="000000" w:themeColor="text1"/>
              </w:rPr>
              <w:t>00,000</w:t>
            </w:r>
          </w:p>
        </w:tc>
      </w:tr>
      <w:tr w:rsidR="00474226" w:rsidRPr="00474226" w14:paraId="0D1BD70D" w14:textId="77777777" w:rsidTr="00A46A20">
        <w:trPr>
          <w:trHeight w:val="315"/>
        </w:trPr>
        <w:tc>
          <w:tcPr>
            <w:tcW w:w="2425" w:type="dxa"/>
            <w:tcBorders>
              <w:top w:val="nil"/>
              <w:left w:val="single" w:sz="8" w:space="0" w:color="auto"/>
              <w:bottom w:val="single" w:sz="8" w:space="0" w:color="auto"/>
              <w:right w:val="single" w:sz="8" w:space="0" w:color="auto"/>
            </w:tcBorders>
            <w:shd w:val="clear" w:color="auto" w:fill="auto"/>
            <w:noWrap/>
            <w:vAlign w:val="center"/>
            <w:hideMark/>
          </w:tcPr>
          <w:p w14:paraId="1ED9D018" w14:textId="77777777" w:rsidR="00CF4E62" w:rsidRPr="00474226" w:rsidRDefault="00CF4E62" w:rsidP="00CF4E62">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EPWP</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0F932" w14:textId="7AA77E30" w:rsidR="00CF4E62"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Pr="00474226">
              <w:rPr>
                <w:rFonts w:ascii="Arial" w:hAnsi="Arial" w:cs="Arial"/>
                <w:color w:val="000000" w:themeColor="text1"/>
              </w:rPr>
              <w:t>5,</w:t>
            </w:r>
            <w:r w:rsidR="00A618DD" w:rsidRPr="00474226">
              <w:rPr>
                <w:rFonts w:ascii="Arial" w:hAnsi="Arial" w:cs="Arial"/>
                <w:color w:val="000000" w:themeColor="text1"/>
              </w:rPr>
              <w:t>011</w:t>
            </w:r>
            <w:r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734A9CA" w14:textId="2331968F" w:rsidR="00CF4E62" w:rsidRPr="00474226" w:rsidRDefault="00FD3E1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Pr="00474226">
              <w:rPr>
                <w:rFonts w:ascii="Arial" w:hAnsi="Arial" w:cs="Arial"/>
                <w:color w:val="000000" w:themeColor="text1"/>
              </w:rPr>
              <w:t>0</w:t>
            </w:r>
          </w:p>
        </w:tc>
        <w:tc>
          <w:tcPr>
            <w:tcW w:w="2268" w:type="dxa"/>
            <w:tcBorders>
              <w:top w:val="single" w:sz="4" w:space="0" w:color="auto"/>
              <w:left w:val="nil"/>
              <w:bottom w:val="single" w:sz="4" w:space="0" w:color="auto"/>
              <w:right w:val="single" w:sz="4" w:space="0" w:color="auto"/>
            </w:tcBorders>
            <w:shd w:val="clear" w:color="auto" w:fill="auto"/>
            <w:vAlign w:val="bottom"/>
          </w:tcPr>
          <w:p w14:paraId="5A626DD1" w14:textId="529B5798" w:rsidR="00CF4E62" w:rsidRPr="00474226" w:rsidRDefault="00245CC2"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R                   0</w:t>
            </w:r>
          </w:p>
        </w:tc>
      </w:tr>
      <w:tr w:rsidR="00474226" w:rsidRPr="00474226" w14:paraId="694BFC17" w14:textId="77777777" w:rsidTr="00B22743">
        <w:trPr>
          <w:trHeight w:val="315"/>
        </w:trPr>
        <w:tc>
          <w:tcPr>
            <w:tcW w:w="2425" w:type="dxa"/>
            <w:tcBorders>
              <w:top w:val="nil"/>
              <w:left w:val="single" w:sz="8" w:space="0" w:color="auto"/>
              <w:bottom w:val="nil"/>
              <w:right w:val="single" w:sz="8" w:space="0" w:color="auto"/>
            </w:tcBorders>
            <w:shd w:val="clear" w:color="auto" w:fill="auto"/>
            <w:noWrap/>
            <w:vAlign w:val="center"/>
            <w:hideMark/>
          </w:tcPr>
          <w:p w14:paraId="0015C553" w14:textId="77777777" w:rsidR="00F057F4" w:rsidRPr="00474226" w:rsidRDefault="00F057F4" w:rsidP="00F057F4">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INEP</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AC16" w14:textId="6A1ACB5F" w:rsidR="00F057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00F057F4" w:rsidRPr="00474226">
              <w:rPr>
                <w:rFonts w:ascii="Arial" w:hAnsi="Arial" w:cs="Arial"/>
                <w:color w:val="000000" w:themeColor="text1"/>
              </w:rPr>
              <w:t>2</w:t>
            </w:r>
            <w:r w:rsidR="00A618DD" w:rsidRPr="00474226">
              <w:rPr>
                <w:rFonts w:ascii="Arial" w:hAnsi="Arial" w:cs="Arial"/>
                <w:color w:val="000000" w:themeColor="text1"/>
              </w:rPr>
              <w:t>3,930</w:t>
            </w:r>
            <w:r w:rsidR="00F057F4"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BB9A4E7" w14:textId="62B43C0C" w:rsidR="00F057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 xml:space="preserve">R </w:t>
            </w:r>
            <w:r w:rsidR="00245CC2" w:rsidRPr="00474226">
              <w:rPr>
                <w:rFonts w:ascii="Arial" w:hAnsi="Arial" w:cs="Arial"/>
                <w:color w:val="000000" w:themeColor="text1"/>
              </w:rPr>
              <w:t xml:space="preserve">    </w:t>
            </w:r>
            <w:r w:rsidR="00A618DD" w:rsidRPr="00474226">
              <w:rPr>
                <w:rFonts w:ascii="Arial" w:hAnsi="Arial" w:cs="Arial"/>
                <w:color w:val="000000" w:themeColor="text1"/>
              </w:rPr>
              <w:t>9</w:t>
            </w:r>
            <w:r w:rsidR="00FD3E1C" w:rsidRPr="00474226">
              <w:rPr>
                <w:rFonts w:ascii="Arial" w:hAnsi="Arial" w:cs="Arial"/>
                <w:color w:val="000000" w:themeColor="text1"/>
              </w:rPr>
              <w:t>,256</w:t>
            </w:r>
            <w:r w:rsidR="00F057F4" w:rsidRPr="00474226">
              <w:rPr>
                <w:rFonts w:ascii="Arial" w:hAnsi="Arial" w:cs="Arial"/>
                <w:color w:val="000000" w:themeColor="text1"/>
              </w:rPr>
              <w:t>,000</w:t>
            </w:r>
          </w:p>
        </w:tc>
        <w:tc>
          <w:tcPr>
            <w:tcW w:w="2268" w:type="dxa"/>
            <w:tcBorders>
              <w:top w:val="single" w:sz="4" w:space="0" w:color="auto"/>
              <w:left w:val="nil"/>
              <w:bottom w:val="single" w:sz="4" w:space="0" w:color="auto"/>
              <w:right w:val="single" w:sz="4" w:space="0" w:color="auto"/>
            </w:tcBorders>
            <w:shd w:val="clear" w:color="auto" w:fill="auto"/>
            <w:vAlign w:val="bottom"/>
          </w:tcPr>
          <w:p w14:paraId="2BF82263" w14:textId="547FEA23" w:rsidR="00F057F4" w:rsidRPr="00474226" w:rsidRDefault="00467AEC" w:rsidP="00AC59E7">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R</w:t>
            </w:r>
            <w:r w:rsidR="00245CC2" w:rsidRPr="00474226">
              <w:rPr>
                <w:rFonts w:ascii="Arial" w:hAnsi="Arial" w:cs="Arial"/>
                <w:color w:val="000000" w:themeColor="text1"/>
              </w:rPr>
              <w:t xml:space="preserve">    </w:t>
            </w:r>
            <w:r w:rsidRPr="00474226">
              <w:rPr>
                <w:rFonts w:ascii="Arial" w:hAnsi="Arial" w:cs="Arial"/>
                <w:color w:val="000000" w:themeColor="text1"/>
              </w:rPr>
              <w:t xml:space="preserve"> </w:t>
            </w:r>
            <w:r w:rsidR="00FD3E1C" w:rsidRPr="00474226">
              <w:rPr>
                <w:rFonts w:ascii="Arial" w:hAnsi="Arial" w:cs="Arial"/>
                <w:color w:val="000000" w:themeColor="text1"/>
              </w:rPr>
              <w:t>9,000</w:t>
            </w:r>
            <w:r w:rsidR="00F057F4" w:rsidRPr="00474226">
              <w:rPr>
                <w:rFonts w:ascii="Arial" w:hAnsi="Arial" w:cs="Arial"/>
                <w:color w:val="000000" w:themeColor="text1"/>
              </w:rPr>
              <w:t>,000</w:t>
            </w:r>
          </w:p>
        </w:tc>
      </w:tr>
      <w:tr w:rsidR="00474226" w:rsidRPr="00474226" w14:paraId="66DE7CD6" w14:textId="77777777" w:rsidTr="00BE48F8">
        <w:trPr>
          <w:trHeight w:val="147"/>
        </w:trPr>
        <w:tc>
          <w:tcPr>
            <w:tcW w:w="24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12ED2D" w14:textId="61F9196A" w:rsidR="00245CC2" w:rsidRPr="00474226" w:rsidRDefault="00245CC2" w:rsidP="00245CC2">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 xml:space="preserve">EEDSM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1A3A0" w14:textId="030CD60D" w:rsidR="00245CC2" w:rsidRPr="00474226" w:rsidRDefault="00245CC2" w:rsidP="00245CC2">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R     5,000,000</w:t>
            </w:r>
          </w:p>
        </w:tc>
        <w:tc>
          <w:tcPr>
            <w:tcW w:w="2268" w:type="dxa"/>
            <w:tcBorders>
              <w:top w:val="single" w:sz="4" w:space="0" w:color="auto"/>
              <w:left w:val="nil"/>
              <w:bottom w:val="single" w:sz="4" w:space="0" w:color="auto"/>
              <w:right w:val="single" w:sz="4" w:space="0" w:color="auto"/>
            </w:tcBorders>
            <w:shd w:val="clear" w:color="auto" w:fill="auto"/>
            <w:noWrap/>
          </w:tcPr>
          <w:p w14:paraId="2D8F0785" w14:textId="65B1AA20" w:rsidR="00245CC2" w:rsidRPr="00474226" w:rsidRDefault="00245CC2" w:rsidP="00245CC2">
            <w:pPr>
              <w:spacing w:after="0" w:line="240" w:lineRule="auto"/>
              <w:ind w:right="-330"/>
              <w:rPr>
                <w:rFonts w:ascii="Arial" w:eastAsia="Times New Roman" w:hAnsi="Arial" w:cs="Arial"/>
                <w:bCs/>
                <w:color w:val="000000" w:themeColor="text1"/>
                <w:sz w:val="24"/>
                <w:szCs w:val="24"/>
                <w:lang w:val="en-US" w:eastAsia="en-ZA"/>
              </w:rPr>
            </w:pPr>
            <w:r w:rsidRPr="00474226">
              <w:rPr>
                <w:rFonts w:ascii="Arial" w:hAnsi="Arial" w:cs="Arial"/>
                <w:color w:val="000000" w:themeColor="text1"/>
              </w:rPr>
              <w:t>R                   0</w:t>
            </w:r>
          </w:p>
        </w:tc>
        <w:tc>
          <w:tcPr>
            <w:tcW w:w="2268" w:type="dxa"/>
            <w:tcBorders>
              <w:top w:val="single" w:sz="4" w:space="0" w:color="auto"/>
              <w:left w:val="nil"/>
              <w:bottom w:val="single" w:sz="4" w:space="0" w:color="auto"/>
              <w:right w:val="single" w:sz="4" w:space="0" w:color="auto"/>
            </w:tcBorders>
            <w:shd w:val="clear" w:color="auto" w:fill="auto"/>
            <w:vAlign w:val="bottom"/>
          </w:tcPr>
          <w:p w14:paraId="63203D59" w14:textId="2242F7C0" w:rsidR="00245CC2" w:rsidRPr="00474226" w:rsidRDefault="00245CC2" w:rsidP="00245CC2">
            <w:pPr>
              <w:spacing w:after="0" w:line="240" w:lineRule="auto"/>
              <w:ind w:right="-330"/>
              <w:rPr>
                <w:rFonts w:ascii="Arial" w:eastAsia="Times New Roman" w:hAnsi="Arial" w:cs="Arial"/>
                <w:b/>
                <w:bCs/>
                <w:color w:val="000000" w:themeColor="text1"/>
                <w:sz w:val="24"/>
                <w:szCs w:val="24"/>
                <w:lang w:val="en-US" w:eastAsia="en-ZA"/>
              </w:rPr>
            </w:pPr>
            <w:r w:rsidRPr="00474226">
              <w:rPr>
                <w:rFonts w:ascii="Arial" w:hAnsi="Arial" w:cs="Arial"/>
                <w:color w:val="000000" w:themeColor="text1"/>
              </w:rPr>
              <w:t>R     5,000,000</w:t>
            </w:r>
          </w:p>
        </w:tc>
      </w:tr>
      <w:tr w:rsidR="00474226" w:rsidRPr="00474226" w14:paraId="4038B879" w14:textId="77777777" w:rsidTr="00BE48F8">
        <w:trPr>
          <w:trHeight w:val="147"/>
        </w:trPr>
        <w:tc>
          <w:tcPr>
            <w:tcW w:w="24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CA1F5A" w14:textId="7C281C90" w:rsidR="00245CC2" w:rsidRPr="00474226" w:rsidRDefault="00245CC2" w:rsidP="00245CC2">
            <w:pPr>
              <w:spacing w:after="0" w:line="24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MDRG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195A3" w14:textId="22904790" w:rsidR="00245CC2" w:rsidRPr="00474226" w:rsidRDefault="00245CC2" w:rsidP="00245CC2">
            <w:pPr>
              <w:spacing w:after="0" w:line="240" w:lineRule="auto"/>
              <w:ind w:right="-330"/>
              <w:rPr>
                <w:rFonts w:ascii="Arial" w:hAnsi="Arial" w:cs="Arial"/>
                <w:color w:val="000000" w:themeColor="text1"/>
              </w:rPr>
            </w:pPr>
            <w:r w:rsidRPr="00474226">
              <w:rPr>
                <w:rFonts w:ascii="Arial" w:hAnsi="Arial" w:cs="Arial"/>
                <w:color w:val="000000" w:themeColor="text1"/>
              </w:rPr>
              <w:t>R   10,261,000</w:t>
            </w:r>
          </w:p>
        </w:tc>
        <w:tc>
          <w:tcPr>
            <w:tcW w:w="2268" w:type="dxa"/>
            <w:tcBorders>
              <w:top w:val="single" w:sz="4" w:space="0" w:color="auto"/>
              <w:left w:val="nil"/>
              <w:bottom w:val="single" w:sz="4" w:space="0" w:color="auto"/>
              <w:right w:val="single" w:sz="4" w:space="0" w:color="auto"/>
            </w:tcBorders>
            <w:shd w:val="clear" w:color="auto" w:fill="auto"/>
            <w:noWrap/>
          </w:tcPr>
          <w:p w14:paraId="1876752B" w14:textId="6ABAD2BC" w:rsidR="00245CC2" w:rsidRPr="00474226" w:rsidRDefault="00245CC2" w:rsidP="00245CC2">
            <w:pPr>
              <w:spacing w:after="0" w:line="240" w:lineRule="auto"/>
              <w:ind w:right="-330"/>
              <w:rPr>
                <w:rFonts w:ascii="Arial" w:hAnsi="Arial" w:cs="Arial"/>
                <w:color w:val="000000" w:themeColor="text1"/>
              </w:rPr>
            </w:pPr>
            <w:r w:rsidRPr="00474226">
              <w:rPr>
                <w:rFonts w:ascii="Arial" w:hAnsi="Arial" w:cs="Arial"/>
                <w:color w:val="000000" w:themeColor="text1"/>
              </w:rPr>
              <w:t>R                   0</w:t>
            </w:r>
          </w:p>
        </w:tc>
        <w:tc>
          <w:tcPr>
            <w:tcW w:w="2268" w:type="dxa"/>
            <w:tcBorders>
              <w:top w:val="single" w:sz="4" w:space="0" w:color="auto"/>
              <w:left w:val="nil"/>
              <w:bottom w:val="single" w:sz="4" w:space="0" w:color="auto"/>
              <w:right w:val="single" w:sz="4" w:space="0" w:color="auto"/>
            </w:tcBorders>
            <w:shd w:val="clear" w:color="auto" w:fill="auto"/>
            <w:vAlign w:val="bottom"/>
          </w:tcPr>
          <w:p w14:paraId="1379BC47" w14:textId="5E20468D" w:rsidR="00245CC2" w:rsidRPr="00474226" w:rsidRDefault="00245CC2" w:rsidP="00245CC2">
            <w:pPr>
              <w:spacing w:after="0" w:line="240" w:lineRule="auto"/>
              <w:ind w:right="-330"/>
              <w:rPr>
                <w:rFonts w:ascii="Arial" w:hAnsi="Arial" w:cs="Arial"/>
                <w:color w:val="000000" w:themeColor="text1"/>
              </w:rPr>
            </w:pPr>
            <w:r w:rsidRPr="00474226">
              <w:rPr>
                <w:rFonts w:ascii="Arial" w:hAnsi="Arial" w:cs="Arial"/>
                <w:color w:val="000000" w:themeColor="text1"/>
              </w:rPr>
              <w:t>R                   0</w:t>
            </w:r>
          </w:p>
        </w:tc>
      </w:tr>
      <w:tr w:rsidR="00245CC2" w:rsidRPr="00474226" w14:paraId="4AE52160" w14:textId="77777777" w:rsidTr="00725DD4">
        <w:trPr>
          <w:trHeight w:val="147"/>
        </w:trPr>
        <w:tc>
          <w:tcPr>
            <w:tcW w:w="242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068011A" w14:textId="77777777" w:rsidR="00245CC2" w:rsidRPr="00474226" w:rsidRDefault="00245CC2" w:rsidP="00245CC2">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TOTAL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EF061" w14:textId="5972A2B3" w:rsidR="00245CC2" w:rsidRPr="00474226" w:rsidRDefault="00245CC2" w:rsidP="00245CC2">
            <w:pPr>
              <w:spacing w:after="0" w:line="240" w:lineRule="auto"/>
              <w:ind w:right="-330"/>
              <w:rPr>
                <w:rFonts w:ascii="Arial" w:eastAsia="Times New Roman" w:hAnsi="Arial" w:cs="Arial"/>
                <w:b/>
                <w:bCs/>
                <w:color w:val="000000" w:themeColor="text1"/>
                <w:sz w:val="24"/>
                <w:szCs w:val="24"/>
                <w:lang w:val="en-US" w:eastAsia="en-ZA"/>
              </w:rPr>
            </w:pPr>
            <w:r w:rsidRPr="00474226">
              <w:rPr>
                <w:rFonts w:ascii="Arial" w:hAnsi="Arial" w:cs="Arial"/>
                <w:b/>
                <w:bCs/>
                <w:color w:val="000000" w:themeColor="text1"/>
              </w:rPr>
              <w:t>R 708,756,000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F5879FA" w14:textId="1693DF66" w:rsidR="00245CC2" w:rsidRPr="00474226" w:rsidRDefault="00245CC2" w:rsidP="00245CC2">
            <w:pPr>
              <w:spacing w:after="0" w:line="240" w:lineRule="auto"/>
              <w:ind w:right="-330"/>
              <w:rPr>
                <w:rFonts w:ascii="Arial" w:eastAsia="Times New Roman" w:hAnsi="Arial" w:cs="Arial"/>
                <w:b/>
                <w:bCs/>
                <w:color w:val="000000" w:themeColor="text1"/>
                <w:sz w:val="24"/>
                <w:szCs w:val="24"/>
                <w:lang w:val="en-US" w:eastAsia="en-ZA"/>
              </w:rPr>
            </w:pPr>
            <w:r w:rsidRPr="00474226">
              <w:rPr>
                <w:rFonts w:ascii="Arial" w:hAnsi="Arial" w:cs="Arial"/>
                <w:b/>
                <w:bCs/>
                <w:color w:val="000000" w:themeColor="text1"/>
              </w:rPr>
              <w:t>R 681,944,000</w:t>
            </w:r>
          </w:p>
        </w:tc>
        <w:tc>
          <w:tcPr>
            <w:tcW w:w="2268" w:type="dxa"/>
            <w:tcBorders>
              <w:top w:val="single" w:sz="4" w:space="0" w:color="auto"/>
              <w:left w:val="nil"/>
              <w:bottom w:val="single" w:sz="4" w:space="0" w:color="auto"/>
              <w:right w:val="single" w:sz="4" w:space="0" w:color="auto"/>
            </w:tcBorders>
            <w:shd w:val="clear" w:color="auto" w:fill="auto"/>
            <w:vAlign w:val="bottom"/>
          </w:tcPr>
          <w:p w14:paraId="404C51A6" w14:textId="5180F1F5" w:rsidR="00245CC2" w:rsidRPr="00474226" w:rsidRDefault="00245CC2" w:rsidP="00245CC2">
            <w:pPr>
              <w:spacing w:after="0" w:line="240" w:lineRule="auto"/>
              <w:ind w:right="-330"/>
              <w:rPr>
                <w:rFonts w:ascii="Arial" w:eastAsia="Times New Roman" w:hAnsi="Arial" w:cs="Arial"/>
                <w:b/>
                <w:bCs/>
                <w:color w:val="000000" w:themeColor="text1"/>
                <w:sz w:val="24"/>
                <w:szCs w:val="24"/>
                <w:lang w:val="en-US" w:eastAsia="en-ZA"/>
              </w:rPr>
            </w:pPr>
            <w:r w:rsidRPr="00474226">
              <w:rPr>
                <w:rFonts w:ascii="Arial" w:hAnsi="Arial" w:cs="Arial"/>
                <w:b/>
                <w:bCs/>
                <w:color w:val="000000" w:themeColor="text1"/>
              </w:rPr>
              <w:t>R 687,525,000</w:t>
            </w:r>
          </w:p>
        </w:tc>
      </w:tr>
    </w:tbl>
    <w:p w14:paraId="533E3212" w14:textId="77777777" w:rsidR="00AD76AC" w:rsidRPr="00474226" w:rsidRDefault="00AD76AC" w:rsidP="00C601CF">
      <w:pPr>
        <w:autoSpaceDE w:val="0"/>
        <w:autoSpaceDN w:val="0"/>
        <w:adjustRightInd w:val="0"/>
        <w:spacing w:after="0" w:line="360" w:lineRule="auto"/>
        <w:ind w:right="-330"/>
        <w:jc w:val="both"/>
        <w:outlineLvl w:val="1"/>
        <w:rPr>
          <w:rFonts w:ascii="Arial" w:eastAsia="Times New Roman" w:hAnsi="Arial" w:cs="Arial"/>
          <w:b/>
          <w:bCs/>
          <w:color w:val="000000" w:themeColor="text1"/>
          <w:sz w:val="24"/>
          <w:szCs w:val="24"/>
          <w:lang w:val="en-US"/>
        </w:rPr>
      </w:pPr>
      <w:bookmarkStart w:id="2" w:name="_Toc440267143"/>
    </w:p>
    <w:bookmarkEnd w:id="2"/>
    <w:p w14:paraId="1413C059" w14:textId="77777777" w:rsidR="00AD76AC" w:rsidRPr="00474226" w:rsidRDefault="00AD76AC" w:rsidP="00C601CF">
      <w:pPr>
        <w:spacing w:after="0" w:line="240" w:lineRule="auto"/>
        <w:ind w:right="-330"/>
        <w:jc w:val="both"/>
        <w:rPr>
          <w:rFonts w:ascii="Arial" w:eastAsia="Times New Roman" w:hAnsi="Arial" w:cs="Arial"/>
          <w:color w:val="000000" w:themeColor="text1"/>
          <w:sz w:val="24"/>
          <w:szCs w:val="24"/>
          <w:lang w:val="en-US"/>
        </w:rPr>
      </w:pPr>
    </w:p>
    <w:p w14:paraId="54C6C7B5"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68E85F7D"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35A43E77"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78FD1EF6"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2199CB5D"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241B7C57" w14:textId="77777777" w:rsidR="00942C73" w:rsidRPr="00474226" w:rsidRDefault="00942C73" w:rsidP="00C601CF">
      <w:pPr>
        <w:spacing w:after="0" w:line="240" w:lineRule="auto"/>
        <w:ind w:right="-330"/>
        <w:jc w:val="both"/>
        <w:rPr>
          <w:rFonts w:ascii="Arial" w:eastAsia="Times New Roman" w:hAnsi="Arial" w:cs="Arial"/>
          <w:color w:val="000000" w:themeColor="text1"/>
          <w:sz w:val="24"/>
          <w:szCs w:val="24"/>
          <w:lang w:val="en-US"/>
        </w:rPr>
      </w:pPr>
    </w:p>
    <w:p w14:paraId="4D7DC901"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r w:rsidRPr="00474226">
        <w:rPr>
          <w:rFonts w:ascii="Arial" w:eastAsia="Times New Roman" w:hAnsi="Arial" w:cs="Arial"/>
          <w:b/>
          <w:bCs/>
          <w:color w:val="000000" w:themeColor="text1"/>
          <w:sz w:val="24"/>
          <w:szCs w:val="24"/>
          <w:lang w:val="en-US"/>
        </w:rPr>
        <w:t>PROPOSED TARIFF INCREASES</w:t>
      </w:r>
    </w:p>
    <w:p w14:paraId="6D951C6D" w14:textId="77777777" w:rsidR="00AD76AC" w:rsidRPr="00474226" w:rsidRDefault="00AD76AC" w:rsidP="00C601CF">
      <w:pPr>
        <w:spacing w:after="0" w:line="240" w:lineRule="auto"/>
        <w:jc w:val="both"/>
        <w:rPr>
          <w:rFonts w:ascii="Arial" w:eastAsia="Times New Roman" w:hAnsi="Arial" w:cs="Arial"/>
          <w:b/>
          <w:bCs/>
          <w:color w:val="000000" w:themeColor="text1"/>
          <w:sz w:val="24"/>
          <w:szCs w:val="24"/>
          <w:lang w:val="en-US"/>
        </w:rPr>
      </w:pPr>
    </w:p>
    <w:p w14:paraId="0C70857A"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r w:rsidRPr="00474226">
        <w:rPr>
          <w:rFonts w:ascii="Arial" w:eastAsia="Times New Roman" w:hAnsi="Arial" w:cs="Arial"/>
          <w:bCs/>
          <w:color w:val="000000" w:themeColor="text1"/>
          <w:sz w:val="24"/>
          <w:szCs w:val="24"/>
          <w:lang w:val="en-US"/>
        </w:rPr>
        <w:t xml:space="preserve">Proposed tariff increase on </w:t>
      </w:r>
      <w:r w:rsidR="00560F1F" w:rsidRPr="00474226">
        <w:rPr>
          <w:rFonts w:ascii="Arial" w:eastAsia="Times New Roman" w:hAnsi="Arial" w:cs="Arial"/>
          <w:bCs/>
          <w:color w:val="000000" w:themeColor="text1"/>
          <w:sz w:val="24"/>
          <w:szCs w:val="24"/>
          <w:lang w:val="en-US"/>
        </w:rPr>
        <w:t>service charges</w:t>
      </w:r>
      <w:r w:rsidR="005C3FA5" w:rsidRPr="00474226">
        <w:rPr>
          <w:rFonts w:ascii="Arial" w:eastAsia="Times New Roman" w:hAnsi="Arial" w:cs="Arial"/>
          <w:bCs/>
          <w:color w:val="000000" w:themeColor="text1"/>
          <w:sz w:val="24"/>
          <w:szCs w:val="24"/>
          <w:lang w:val="en-US"/>
        </w:rPr>
        <w:t xml:space="preserve"> and property rates</w:t>
      </w:r>
      <w:r w:rsidRPr="00474226">
        <w:rPr>
          <w:rFonts w:ascii="Arial" w:eastAsia="Times New Roman" w:hAnsi="Arial" w:cs="Arial"/>
          <w:bCs/>
          <w:color w:val="000000" w:themeColor="text1"/>
          <w:sz w:val="24"/>
          <w:szCs w:val="24"/>
          <w:lang w:val="en-US"/>
        </w:rPr>
        <w:t xml:space="preserve"> are as follows:</w:t>
      </w:r>
    </w:p>
    <w:p w14:paraId="53BD40CF" w14:textId="77777777" w:rsidR="00AD76AC" w:rsidRPr="00474226" w:rsidRDefault="00AD76AC" w:rsidP="00C601CF">
      <w:pPr>
        <w:spacing w:after="0" w:line="240" w:lineRule="auto"/>
        <w:jc w:val="both"/>
        <w:rPr>
          <w:rFonts w:ascii="Arial" w:eastAsia="Times New Roman" w:hAnsi="Arial" w:cs="Arial"/>
          <w:bCs/>
          <w:color w:val="000000" w:themeColor="text1"/>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418"/>
        <w:gridCol w:w="1417"/>
        <w:gridCol w:w="1362"/>
      </w:tblGrid>
      <w:tr w:rsidR="00474226" w:rsidRPr="00474226" w14:paraId="26C00CD6" w14:textId="77777777" w:rsidTr="00967CC9">
        <w:trPr>
          <w:trHeight w:val="470"/>
        </w:trPr>
        <w:tc>
          <w:tcPr>
            <w:tcW w:w="3969" w:type="dxa"/>
          </w:tcPr>
          <w:p w14:paraId="1E6C147A" w14:textId="77777777" w:rsidR="00AD76AC" w:rsidRPr="00474226" w:rsidRDefault="00AD76AC" w:rsidP="00C601CF">
            <w:pPr>
              <w:spacing w:after="0" w:line="36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CATEGORY</w:t>
            </w:r>
          </w:p>
        </w:tc>
        <w:tc>
          <w:tcPr>
            <w:tcW w:w="1418" w:type="dxa"/>
          </w:tcPr>
          <w:p w14:paraId="335A468A" w14:textId="275671FF" w:rsidR="00AD76AC" w:rsidRPr="00474226" w:rsidRDefault="008F266E" w:rsidP="00C601CF">
            <w:pPr>
              <w:spacing w:after="0" w:line="36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4</w:t>
            </w: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5</w:t>
            </w:r>
          </w:p>
        </w:tc>
        <w:tc>
          <w:tcPr>
            <w:tcW w:w="1417" w:type="dxa"/>
          </w:tcPr>
          <w:p w14:paraId="2950FB25" w14:textId="7C4C7DBF" w:rsidR="00AD76AC" w:rsidRPr="00474226" w:rsidRDefault="008F266E" w:rsidP="00C601CF">
            <w:pPr>
              <w:spacing w:after="0" w:line="36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5</w:t>
            </w: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6</w:t>
            </w:r>
          </w:p>
        </w:tc>
        <w:tc>
          <w:tcPr>
            <w:tcW w:w="1362" w:type="dxa"/>
          </w:tcPr>
          <w:p w14:paraId="22BF7A35" w14:textId="0443A7E3" w:rsidR="00AD76AC" w:rsidRPr="00474226" w:rsidRDefault="008F266E" w:rsidP="00C601CF">
            <w:pPr>
              <w:spacing w:after="0" w:line="360" w:lineRule="auto"/>
              <w:ind w:right="-330"/>
              <w:jc w:val="both"/>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6</w:t>
            </w:r>
            <w:r w:rsidRPr="00474226">
              <w:rPr>
                <w:rFonts w:ascii="Arial" w:eastAsia="Times New Roman" w:hAnsi="Arial" w:cs="Arial"/>
                <w:b/>
                <w:bCs/>
                <w:color w:val="000000" w:themeColor="text1"/>
                <w:sz w:val="24"/>
                <w:szCs w:val="24"/>
                <w:lang w:val="en-US" w:eastAsia="en-ZA"/>
              </w:rPr>
              <w:t>/202</w:t>
            </w:r>
            <w:r w:rsidR="0068797F" w:rsidRPr="00474226">
              <w:rPr>
                <w:rFonts w:ascii="Arial" w:eastAsia="Times New Roman" w:hAnsi="Arial" w:cs="Arial"/>
                <w:b/>
                <w:bCs/>
                <w:color w:val="000000" w:themeColor="text1"/>
                <w:sz w:val="24"/>
                <w:szCs w:val="24"/>
                <w:lang w:val="en-US" w:eastAsia="en-ZA"/>
              </w:rPr>
              <w:t>7</w:t>
            </w:r>
          </w:p>
        </w:tc>
      </w:tr>
      <w:tr w:rsidR="00474226" w:rsidRPr="00474226" w14:paraId="5235CDAD" w14:textId="77777777" w:rsidTr="00967CC9">
        <w:tc>
          <w:tcPr>
            <w:tcW w:w="3969" w:type="dxa"/>
          </w:tcPr>
          <w:p w14:paraId="30B92F75" w14:textId="77777777" w:rsidR="00AD76AC" w:rsidRPr="00474226" w:rsidRDefault="00AD76AC" w:rsidP="00C601CF">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Property Rates</w:t>
            </w:r>
          </w:p>
        </w:tc>
        <w:tc>
          <w:tcPr>
            <w:tcW w:w="1418" w:type="dxa"/>
          </w:tcPr>
          <w:p w14:paraId="4B5E5A71" w14:textId="08F07503" w:rsidR="00AD76AC" w:rsidRPr="00474226" w:rsidRDefault="000372D5" w:rsidP="00C601CF">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0</w:t>
            </w:r>
            <w:r w:rsidR="00AD76AC" w:rsidRPr="00474226">
              <w:rPr>
                <w:rFonts w:ascii="Arial" w:eastAsia="Times New Roman" w:hAnsi="Arial" w:cs="Arial"/>
                <w:bCs/>
                <w:color w:val="000000" w:themeColor="text1"/>
                <w:sz w:val="24"/>
                <w:szCs w:val="24"/>
                <w:lang w:val="en-US" w:eastAsia="en-ZA"/>
              </w:rPr>
              <w:t>%</w:t>
            </w:r>
          </w:p>
        </w:tc>
        <w:tc>
          <w:tcPr>
            <w:tcW w:w="1417" w:type="dxa"/>
          </w:tcPr>
          <w:p w14:paraId="7DC09111" w14:textId="4739B2BF" w:rsidR="00AD76AC" w:rsidRPr="00474226" w:rsidRDefault="00AD76AC" w:rsidP="00C601CF">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     </w:t>
            </w:r>
            <w:r w:rsidR="00C34E30" w:rsidRPr="00474226">
              <w:rPr>
                <w:rFonts w:ascii="Arial" w:eastAsia="Times New Roman" w:hAnsi="Arial" w:cs="Arial"/>
                <w:bCs/>
                <w:color w:val="000000" w:themeColor="text1"/>
                <w:sz w:val="24"/>
                <w:szCs w:val="24"/>
                <w:lang w:val="en-US" w:eastAsia="en-ZA"/>
              </w:rPr>
              <w:t>4.</w:t>
            </w:r>
            <w:r w:rsidR="000D4D5D" w:rsidRPr="00474226">
              <w:rPr>
                <w:rFonts w:ascii="Arial" w:eastAsia="Times New Roman" w:hAnsi="Arial" w:cs="Arial"/>
                <w:bCs/>
                <w:color w:val="000000" w:themeColor="text1"/>
                <w:sz w:val="24"/>
                <w:szCs w:val="24"/>
                <w:lang w:val="en-US" w:eastAsia="en-ZA"/>
              </w:rPr>
              <w:t>6</w:t>
            </w:r>
            <w:r w:rsidRPr="00474226">
              <w:rPr>
                <w:rFonts w:ascii="Arial" w:eastAsia="Times New Roman" w:hAnsi="Arial" w:cs="Arial"/>
                <w:bCs/>
                <w:color w:val="000000" w:themeColor="text1"/>
                <w:sz w:val="24"/>
                <w:szCs w:val="24"/>
                <w:lang w:val="en-US" w:eastAsia="en-ZA"/>
              </w:rPr>
              <w:t>%</w:t>
            </w:r>
          </w:p>
        </w:tc>
        <w:tc>
          <w:tcPr>
            <w:tcW w:w="1362" w:type="dxa"/>
          </w:tcPr>
          <w:p w14:paraId="5F8A2838" w14:textId="7ADE78E8" w:rsidR="00AD76AC" w:rsidRPr="00474226" w:rsidRDefault="00C34E30" w:rsidP="00C601CF">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w:t>
            </w:r>
            <w:r w:rsidR="000372D5" w:rsidRPr="00474226">
              <w:rPr>
                <w:rFonts w:ascii="Arial" w:eastAsia="Times New Roman" w:hAnsi="Arial" w:cs="Arial"/>
                <w:bCs/>
                <w:color w:val="000000" w:themeColor="text1"/>
                <w:sz w:val="24"/>
                <w:szCs w:val="24"/>
                <w:lang w:val="en-US" w:eastAsia="en-ZA"/>
              </w:rPr>
              <w:t>6</w:t>
            </w:r>
            <w:r w:rsidR="00AD76AC" w:rsidRPr="00474226">
              <w:rPr>
                <w:rFonts w:ascii="Arial" w:eastAsia="Times New Roman" w:hAnsi="Arial" w:cs="Arial"/>
                <w:bCs/>
                <w:color w:val="000000" w:themeColor="text1"/>
                <w:sz w:val="24"/>
                <w:szCs w:val="24"/>
                <w:lang w:val="en-US" w:eastAsia="en-ZA"/>
              </w:rPr>
              <w:t>%</w:t>
            </w:r>
          </w:p>
        </w:tc>
      </w:tr>
      <w:tr w:rsidR="00474226" w:rsidRPr="00474226" w14:paraId="4FDC5EEC" w14:textId="77777777" w:rsidTr="00836960">
        <w:trPr>
          <w:trHeight w:val="405"/>
        </w:trPr>
        <w:tc>
          <w:tcPr>
            <w:tcW w:w="3969" w:type="dxa"/>
          </w:tcPr>
          <w:p w14:paraId="75203DD0" w14:textId="77777777" w:rsidR="00C34E30" w:rsidRPr="00474226" w:rsidRDefault="00C34E30" w:rsidP="00C34E30">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Electricity     </w:t>
            </w:r>
          </w:p>
        </w:tc>
        <w:tc>
          <w:tcPr>
            <w:tcW w:w="1418" w:type="dxa"/>
          </w:tcPr>
          <w:p w14:paraId="70F037D7" w14:textId="0D666E93" w:rsidR="00C34E30" w:rsidRPr="00474226" w:rsidRDefault="006C5235" w:rsidP="00C34E30">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12.70</w:t>
            </w:r>
            <w:r w:rsidR="00C34E30" w:rsidRPr="00474226">
              <w:rPr>
                <w:rFonts w:ascii="Arial" w:eastAsia="Times New Roman" w:hAnsi="Arial" w:cs="Arial"/>
                <w:bCs/>
                <w:color w:val="000000" w:themeColor="text1"/>
                <w:sz w:val="24"/>
                <w:szCs w:val="24"/>
                <w:lang w:val="en-US" w:eastAsia="en-ZA"/>
              </w:rPr>
              <w:t xml:space="preserve">%   </w:t>
            </w:r>
          </w:p>
        </w:tc>
        <w:tc>
          <w:tcPr>
            <w:tcW w:w="1417" w:type="dxa"/>
          </w:tcPr>
          <w:p w14:paraId="4A9B26DF" w14:textId="555AF5CA" w:rsidR="00C34E30" w:rsidRPr="00474226" w:rsidRDefault="00D369EF" w:rsidP="00EB6EB9">
            <w:pPr>
              <w:jc w:val="center"/>
              <w:rPr>
                <w:color w:val="000000" w:themeColor="text1"/>
              </w:rPr>
            </w:pPr>
            <w:r w:rsidRPr="00474226">
              <w:rPr>
                <w:rFonts w:ascii="Arial" w:eastAsia="Times New Roman" w:hAnsi="Arial" w:cs="Arial"/>
                <w:bCs/>
                <w:color w:val="000000" w:themeColor="text1"/>
                <w:sz w:val="24"/>
                <w:szCs w:val="24"/>
                <w:lang w:val="en-US" w:eastAsia="en-ZA"/>
              </w:rPr>
              <w:t>1</w:t>
            </w:r>
            <w:r w:rsidR="006C5235" w:rsidRPr="00474226">
              <w:rPr>
                <w:rFonts w:ascii="Arial" w:eastAsia="Times New Roman" w:hAnsi="Arial" w:cs="Arial"/>
                <w:bCs/>
                <w:color w:val="000000" w:themeColor="text1"/>
                <w:sz w:val="24"/>
                <w:szCs w:val="24"/>
                <w:lang w:val="en-US" w:eastAsia="en-ZA"/>
              </w:rPr>
              <w:t>5</w:t>
            </w:r>
            <w:r w:rsidRPr="00474226">
              <w:rPr>
                <w:rFonts w:ascii="Arial" w:eastAsia="Times New Roman" w:hAnsi="Arial" w:cs="Arial"/>
                <w:bCs/>
                <w:color w:val="000000" w:themeColor="text1"/>
                <w:sz w:val="24"/>
                <w:szCs w:val="24"/>
                <w:lang w:val="en-US" w:eastAsia="en-ZA"/>
              </w:rPr>
              <w:t>.70</w:t>
            </w:r>
            <w:r w:rsidR="00C34E30" w:rsidRPr="00474226">
              <w:rPr>
                <w:rFonts w:ascii="Arial" w:eastAsia="Times New Roman" w:hAnsi="Arial" w:cs="Arial"/>
                <w:bCs/>
                <w:color w:val="000000" w:themeColor="text1"/>
                <w:sz w:val="24"/>
                <w:szCs w:val="24"/>
                <w:lang w:val="en-US" w:eastAsia="en-ZA"/>
              </w:rPr>
              <w:t>%</w:t>
            </w:r>
          </w:p>
        </w:tc>
        <w:tc>
          <w:tcPr>
            <w:tcW w:w="1362" w:type="dxa"/>
          </w:tcPr>
          <w:p w14:paraId="3D2F04EA" w14:textId="61B41BCE" w:rsidR="00C34E30" w:rsidRPr="00474226" w:rsidRDefault="00D369EF" w:rsidP="00EB6EB9">
            <w:pPr>
              <w:jc w:val="right"/>
              <w:rPr>
                <w:color w:val="000000" w:themeColor="text1"/>
              </w:rPr>
            </w:pPr>
            <w:r w:rsidRPr="00474226">
              <w:rPr>
                <w:rFonts w:ascii="Arial" w:eastAsia="Times New Roman" w:hAnsi="Arial" w:cs="Arial"/>
                <w:bCs/>
                <w:color w:val="000000" w:themeColor="text1"/>
                <w:sz w:val="24"/>
                <w:szCs w:val="24"/>
                <w:lang w:val="en-US" w:eastAsia="en-ZA"/>
              </w:rPr>
              <w:t>17.70</w:t>
            </w:r>
            <w:r w:rsidR="00C34E30" w:rsidRPr="00474226">
              <w:rPr>
                <w:rFonts w:ascii="Arial" w:eastAsia="Times New Roman" w:hAnsi="Arial" w:cs="Arial"/>
                <w:bCs/>
                <w:color w:val="000000" w:themeColor="text1"/>
                <w:sz w:val="24"/>
                <w:szCs w:val="24"/>
                <w:lang w:val="en-US" w:eastAsia="en-ZA"/>
              </w:rPr>
              <w:t xml:space="preserve">%   </w:t>
            </w:r>
          </w:p>
        </w:tc>
      </w:tr>
      <w:tr w:rsidR="00474226" w:rsidRPr="00474226" w14:paraId="7AEB62CD" w14:textId="77777777" w:rsidTr="00967CC9">
        <w:tc>
          <w:tcPr>
            <w:tcW w:w="3969" w:type="dxa"/>
          </w:tcPr>
          <w:p w14:paraId="54325C60" w14:textId="77777777"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Refuse</w:t>
            </w:r>
          </w:p>
        </w:tc>
        <w:tc>
          <w:tcPr>
            <w:tcW w:w="1418" w:type="dxa"/>
          </w:tcPr>
          <w:p w14:paraId="2B0EA425" w14:textId="7AB175A3"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4.9%</w:t>
            </w:r>
          </w:p>
        </w:tc>
        <w:tc>
          <w:tcPr>
            <w:tcW w:w="1417" w:type="dxa"/>
          </w:tcPr>
          <w:p w14:paraId="6BBBEE0A" w14:textId="2A120B30"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     4.6%</w:t>
            </w:r>
          </w:p>
        </w:tc>
        <w:tc>
          <w:tcPr>
            <w:tcW w:w="1362" w:type="dxa"/>
          </w:tcPr>
          <w:p w14:paraId="23A7E43B" w14:textId="534B81FB"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w:t>
            </w:r>
            <w:r w:rsidR="000372D5" w:rsidRPr="00474226">
              <w:rPr>
                <w:rFonts w:ascii="Arial" w:eastAsia="Times New Roman" w:hAnsi="Arial" w:cs="Arial"/>
                <w:bCs/>
                <w:color w:val="000000" w:themeColor="text1"/>
                <w:sz w:val="24"/>
                <w:szCs w:val="24"/>
                <w:lang w:val="en-US" w:eastAsia="en-ZA"/>
              </w:rPr>
              <w:t>6</w:t>
            </w:r>
            <w:r w:rsidRPr="00474226">
              <w:rPr>
                <w:rFonts w:ascii="Arial" w:eastAsia="Times New Roman" w:hAnsi="Arial" w:cs="Arial"/>
                <w:bCs/>
                <w:color w:val="000000" w:themeColor="text1"/>
                <w:sz w:val="24"/>
                <w:szCs w:val="24"/>
                <w:lang w:val="en-US" w:eastAsia="en-ZA"/>
              </w:rPr>
              <w:t>%</w:t>
            </w:r>
          </w:p>
        </w:tc>
      </w:tr>
      <w:tr w:rsidR="00474226" w:rsidRPr="00474226" w14:paraId="69B22653" w14:textId="77777777" w:rsidTr="00967CC9">
        <w:tc>
          <w:tcPr>
            <w:tcW w:w="3969" w:type="dxa"/>
          </w:tcPr>
          <w:p w14:paraId="333A5B98" w14:textId="77777777"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Water (</w:t>
            </w:r>
            <w:proofErr w:type="spellStart"/>
            <w:r w:rsidRPr="00474226">
              <w:rPr>
                <w:rFonts w:ascii="Arial" w:eastAsia="Times New Roman" w:hAnsi="Arial" w:cs="Arial"/>
                <w:bCs/>
                <w:color w:val="000000" w:themeColor="text1"/>
                <w:sz w:val="24"/>
                <w:szCs w:val="24"/>
                <w:lang w:val="en-US" w:eastAsia="en-ZA"/>
              </w:rPr>
              <w:t>Haenertsburg</w:t>
            </w:r>
            <w:proofErr w:type="spellEnd"/>
            <w:r w:rsidRPr="00474226">
              <w:rPr>
                <w:rFonts w:ascii="Arial" w:eastAsia="Times New Roman" w:hAnsi="Arial" w:cs="Arial"/>
                <w:bCs/>
                <w:color w:val="000000" w:themeColor="text1"/>
                <w:sz w:val="24"/>
                <w:szCs w:val="24"/>
                <w:lang w:val="en-US" w:eastAsia="en-ZA"/>
              </w:rPr>
              <w:t>)</w:t>
            </w:r>
          </w:p>
        </w:tc>
        <w:tc>
          <w:tcPr>
            <w:tcW w:w="1418" w:type="dxa"/>
          </w:tcPr>
          <w:p w14:paraId="60D89947" w14:textId="5FE313A7"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4.9%</w:t>
            </w:r>
          </w:p>
        </w:tc>
        <w:tc>
          <w:tcPr>
            <w:tcW w:w="1417" w:type="dxa"/>
          </w:tcPr>
          <w:p w14:paraId="707D286F" w14:textId="32CCB3E4"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     4.6%</w:t>
            </w:r>
          </w:p>
        </w:tc>
        <w:tc>
          <w:tcPr>
            <w:tcW w:w="1362" w:type="dxa"/>
          </w:tcPr>
          <w:p w14:paraId="0C851CE5" w14:textId="38B197BD"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w:t>
            </w:r>
            <w:r w:rsidR="000372D5" w:rsidRPr="00474226">
              <w:rPr>
                <w:rFonts w:ascii="Arial" w:eastAsia="Times New Roman" w:hAnsi="Arial" w:cs="Arial"/>
                <w:bCs/>
                <w:color w:val="000000" w:themeColor="text1"/>
                <w:sz w:val="24"/>
                <w:szCs w:val="24"/>
                <w:lang w:val="en-US" w:eastAsia="en-ZA"/>
              </w:rPr>
              <w:t>6</w:t>
            </w:r>
            <w:r w:rsidRPr="00474226">
              <w:rPr>
                <w:rFonts w:ascii="Arial" w:eastAsia="Times New Roman" w:hAnsi="Arial" w:cs="Arial"/>
                <w:bCs/>
                <w:color w:val="000000" w:themeColor="text1"/>
                <w:sz w:val="24"/>
                <w:szCs w:val="24"/>
                <w:lang w:val="en-US" w:eastAsia="en-ZA"/>
              </w:rPr>
              <w:t>%</w:t>
            </w:r>
          </w:p>
        </w:tc>
      </w:tr>
      <w:tr w:rsidR="00474226" w:rsidRPr="00474226" w14:paraId="7970F043" w14:textId="77777777" w:rsidTr="00967CC9">
        <w:tc>
          <w:tcPr>
            <w:tcW w:w="3969" w:type="dxa"/>
          </w:tcPr>
          <w:p w14:paraId="727533A3" w14:textId="77777777"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Water (Other users)</w:t>
            </w:r>
          </w:p>
        </w:tc>
        <w:tc>
          <w:tcPr>
            <w:tcW w:w="1418" w:type="dxa"/>
          </w:tcPr>
          <w:p w14:paraId="154AED3A" w14:textId="6AAA1A53"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4.9%</w:t>
            </w:r>
          </w:p>
        </w:tc>
        <w:tc>
          <w:tcPr>
            <w:tcW w:w="1417" w:type="dxa"/>
          </w:tcPr>
          <w:p w14:paraId="767B8B08" w14:textId="725CE9E3"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     4.6%</w:t>
            </w:r>
          </w:p>
        </w:tc>
        <w:tc>
          <w:tcPr>
            <w:tcW w:w="1362" w:type="dxa"/>
          </w:tcPr>
          <w:p w14:paraId="7C919E40" w14:textId="5A90D8D3"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w:t>
            </w:r>
            <w:r w:rsidR="000372D5" w:rsidRPr="00474226">
              <w:rPr>
                <w:rFonts w:ascii="Arial" w:eastAsia="Times New Roman" w:hAnsi="Arial" w:cs="Arial"/>
                <w:bCs/>
                <w:color w:val="000000" w:themeColor="text1"/>
                <w:sz w:val="24"/>
                <w:szCs w:val="24"/>
                <w:lang w:val="en-US" w:eastAsia="en-ZA"/>
              </w:rPr>
              <w:t>6</w:t>
            </w:r>
            <w:r w:rsidRPr="00474226">
              <w:rPr>
                <w:rFonts w:ascii="Arial" w:eastAsia="Times New Roman" w:hAnsi="Arial" w:cs="Arial"/>
                <w:bCs/>
                <w:color w:val="000000" w:themeColor="text1"/>
                <w:sz w:val="24"/>
                <w:szCs w:val="24"/>
                <w:lang w:val="en-US" w:eastAsia="en-ZA"/>
              </w:rPr>
              <w:t>%</w:t>
            </w:r>
          </w:p>
        </w:tc>
      </w:tr>
      <w:tr w:rsidR="00BF4978" w:rsidRPr="00474226" w14:paraId="2FD55B7A" w14:textId="77777777" w:rsidTr="00967CC9">
        <w:tc>
          <w:tcPr>
            <w:tcW w:w="3969" w:type="dxa"/>
          </w:tcPr>
          <w:p w14:paraId="7CBE33A5" w14:textId="77777777"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Sewerage</w:t>
            </w:r>
          </w:p>
        </w:tc>
        <w:tc>
          <w:tcPr>
            <w:tcW w:w="1418" w:type="dxa"/>
          </w:tcPr>
          <w:p w14:paraId="27D04425" w14:textId="4768BEA9"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4.9%</w:t>
            </w:r>
          </w:p>
        </w:tc>
        <w:tc>
          <w:tcPr>
            <w:tcW w:w="1417" w:type="dxa"/>
          </w:tcPr>
          <w:p w14:paraId="7BD2F503" w14:textId="492E2197" w:rsidR="00BF4978" w:rsidRPr="00474226" w:rsidRDefault="00BF4978" w:rsidP="00BF4978">
            <w:pPr>
              <w:spacing w:after="0" w:line="240" w:lineRule="auto"/>
              <w:ind w:right="-330"/>
              <w:jc w:val="both"/>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     4.6%</w:t>
            </w:r>
          </w:p>
        </w:tc>
        <w:tc>
          <w:tcPr>
            <w:tcW w:w="1362" w:type="dxa"/>
          </w:tcPr>
          <w:p w14:paraId="670E6F6B" w14:textId="46C1C986" w:rsidR="00BF4978" w:rsidRPr="00474226" w:rsidRDefault="00BF4978" w:rsidP="00BF4978">
            <w:pPr>
              <w:spacing w:after="0" w:line="240" w:lineRule="auto"/>
              <w:ind w:right="-330"/>
              <w:jc w:val="center"/>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4.</w:t>
            </w:r>
            <w:r w:rsidR="000372D5" w:rsidRPr="00474226">
              <w:rPr>
                <w:rFonts w:ascii="Arial" w:eastAsia="Times New Roman" w:hAnsi="Arial" w:cs="Arial"/>
                <w:bCs/>
                <w:color w:val="000000" w:themeColor="text1"/>
                <w:sz w:val="24"/>
                <w:szCs w:val="24"/>
                <w:lang w:val="en-US" w:eastAsia="en-ZA"/>
              </w:rPr>
              <w:t>6</w:t>
            </w:r>
            <w:r w:rsidRPr="00474226">
              <w:rPr>
                <w:rFonts w:ascii="Arial" w:eastAsia="Times New Roman" w:hAnsi="Arial" w:cs="Arial"/>
                <w:bCs/>
                <w:color w:val="000000" w:themeColor="text1"/>
                <w:sz w:val="24"/>
                <w:szCs w:val="24"/>
                <w:lang w:val="en-US" w:eastAsia="en-ZA"/>
              </w:rPr>
              <w:t>%</w:t>
            </w:r>
          </w:p>
        </w:tc>
      </w:tr>
    </w:tbl>
    <w:p w14:paraId="2723179C" w14:textId="77777777" w:rsidR="00A56091" w:rsidRPr="00474226" w:rsidRDefault="00A56091" w:rsidP="00C601CF">
      <w:pPr>
        <w:spacing w:after="0" w:line="240" w:lineRule="auto"/>
        <w:jc w:val="both"/>
        <w:rPr>
          <w:rFonts w:ascii="Arial" w:eastAsia="Times New Roman" w:hAnsi="Arial" w:cs="Arial"/>
          <w:b/>
          <w:bCs/>
          <w:color w:val="000000" w:themeColor="text1"/>
          <w:sz w:val="24"/>
          <w:szCs w:val="24"/>
          <w:lang w:val="en-US"/>
        </w:rPr>
      </w:pPr>
    </w:p>
    <w:p w14:paraId="084D8FAC" w14:textId="3DC28929" w:rsidR="00A56091" w:rsidRPr="00474226" w:rsidRDefault="00877B5C" w:rsidP="00C601CF">
      <w:pPr>
        <w:spacing w:after="0" w:line="240" w:lineRule="auto"/>
        <w:jc w:val="both"/>
        <w:rPr>
          <w:rFonts w:ascii="Arial" w:eastAsia="Times New Roman" w:hAnsi="Arial" w:cs="Arial"/>
          <w:color w:val="000000" w:themeColor="text1"/>
          <w:sz w:val="20"/>
          <w:szCs w:val="20"/>
          <w:lang w:val="en-US"/>
        </w:rPr>
      </w:pPr>
      <w:r w:rsidRPr="00474226">
        <w:rPr>
          <w:rFonts w:ascii="Arial" w:eastAsia="Times New Roman" w:hAnsi="Arial" w:cs="Arial"/>
          <w:color w:val="000000" w:themeColor="text1"/>
          <w:sz w:val="20"/>
          <w:szCs w:val="20"/>
          <w:lang w:val="en-US"/>
        </w:rPr>
        <w:t xml:space="preserve">NB: </w:t>
      </w:r>
      <w:r w:rsidRPr="00691412">
        <w:rPr>
          <w:rFonts w:ascii="Arial" w:eastAsia="Times New Roman" w:hAnsi="Arial" w:cs="Arial"/>
          <w:color w:val="000000" w:themeColor="text1"/>
          <w:sz w:val="20"/>
          <w:szCs w:val="20"/>
          <w:lang w:val="en-US"/>
        </w:rPr>
        <w:t>T</w:t>
      </w:r>
      <w:r w:rsidR="00691412" w:rsidRPr="00691412">
        <w:rPr>
          <w:rFonts w:ascii="Arial" w:eastAsia="Times New Roman" w:hAnsi="Arial" w:cs="Arial"/>
          <w:color w:val="000000" w:themeColor="text1"/>
          <w:sz w:val="20"/>
          <w:szCs w:val="20"/>
          <w:lang w:val="en-US"/>
        </w:rPr>
        <w:t xml:space="preserve">he cent in the Rand rates will be kept constant on </w:t>
      </w:r>
      <w:r w:rsidRPr="00691412">
        <w:rPr>
          <w:rFonts w:ascii="Arial" w:eastAsia="Times New Roman" w:hAnsi="Arial" w:cs="Arial"/>
          <w:color w:val="000000" w:themeColor="text1"/>
          <w:sz w:val="20"/>
          <w:szCs w:val="20"/>
          <w:lang w:val="en-US"/>
        </w:rPr>
        <w:t xml:space="preserve">Property Rates </w:t>
      </w:r>
      <w:r w:rsidR="00691412" w:rsidRPr="00691412">
        <w:rPr>
          <w:rFonts w:ascii="Arial" w:eastAsia="Times New Roman" w:hAnsi="Arial" w:cs="Arial"/>
          <w:color w:val="000000" w:themeColor="text1"/>
          <w:sz w:val="20"/>
          <w:szCs w:val="20"/>
          <w:lang w:val="en-US"/>
        </w:rPr>
        <w:t xml:space="preserve">(0% </w:t>
      </w:r>
      <w:r w:rsidRPr="00691412">
        <w:rPr>
          <w:rFonts w:ascii="Arial" w:eastAsia="Times New Roman" w:hAnsi="Arial" w:cs="Arial"/>
          <w:color w:val="000000" w:themeColor="text1"/>
          <w:sz w:val="20"/>
          <w:szCs w:val="20"/>
          <w:lang w:val="en-US"/>
        </w:rPr>
        <w:t>tariff</w:t>
      </w:r>
      <w:r w:rsidR="00691412" w:rsidRPr="00691412">
        <w:rPr>
          <w:rFonts w:ascii="Arial" w:eastAsia="Times New Roman" w:hAnsi="Arial" w:cs="Arial"/>
          <w:color w:val="000000" w:themeColor="text1"/>
          <w:sz w:val="20"/>
          <w:szCs w:val="20"/>
          <w:lang w:val="en-US"/>
        </w:rPr>
        <w:t xml:space="preserve"> increase)</w:t>
      </w:r>
      <w:r w:rsidRPr="00691412">
        <w:rPr>
          <w:rFonts w:ascii="Arial" w:eastAsia="Times New Roman" w:hAnsi="Arial" w:cs="Arial"/>
          <w:color w:val="000000" w:themeColor="text1"/>
          <w:sz w:val="20"/>
          <w:szCs w:val="20"/>
          <w:lang w:val="en-US"/>
        </w:rPr>
        <w:t xml:space="preserve"> </w:t>
      </w:r>
      <w:r w:rsidRPr="00474226">
        <w:rPr>
          <w:rFonts w:ascii="Arial" w:eastAsia="Times New Roman" w:hAnsi="Arial" w:cs="Arial"/>
          <w:color w:val="000000" w:themeColor="text1"/>
          <w:sz w:val="20"/>
          <w:szCs w:val="20"/>
          <w:lang w:val="en-US"/>
        </w:rPr>
        <w:t>due to the implementation of the new General Valuation Roll from 1 July 2024, which will constitute an increase in Property Values.</w:t>
      </w:r>
    </w:p>
    <w:p w14:paraId="0A6B4FA9" w14:textId="77777777" w:rsidR="00877B5C" w:rsidRPr="00474226" w:rsidRDefault="00877B5C" w:rsidP="00C601CF">
      <w:pPr>
        <w:spacing w:after="0" w:line="240" w:lineRule="auto"/>
        <w:jc w:val="both"/>
        <w:rPr>
          <w:rFonts w:ascii="Arial" w:eastAsia="Times New Roman" w:hAnsi="Arial" w:cs="Arial"/>
          <w:b/>
          <w:bCs/>
          <w:color w:val="000000" w:themeColor="text1"/>
          <w:sz w:val="24"/>
          <w:szCs w:val="24"/>
          <w:lang w:val="en-US"/>
        </w:rPr>
      </w:pPr>
    </w:p>
    <w:p w14:paraId="7D132993" w14:textId="77777777" w:rsidR="00AD76AC" w:rsidRPr="00474226" w:rsidRDefault="00AD76AC" w:rsidP="00CB0E88">
      <w:pPr>
        <w:pStyle w:val="ListParagraph"/>
        <w:numPr>
          <w:ilvl w:val="0"/>
          <w:numId w:val="13"/>
        </w:numPr>
        <w:spacing w:after="0" w:line="360" w:lineRule="auto"/>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LEGAL IMPLICATIONS</w:t>
      </w:r>
    </w:p>
    <w:p w14:paraId="189F9A6C" w14:textId="0E264AFB" w:rsidR="00AD76AC" w:rsidRPr="00474226" w:rsidRDefault="0093552D" w:rsidP="00C601CF">
      <w:pPr>
        <w:spacing w:after="0" w:line="360" w:lineRule="auto"/>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Compliance to Section 22 of the Municipal Finance management Act</w:t>
      </w:r>
    </w:p>
    <w:p w14:paraId="058BB6AE" w14:textId="77777777" w:rsidR="00197FF9" w:rsidRPr="00474226" w:rsidRDefault="00197FF9" w:rsidP="00C601CF">
      <w:pPr>
        <w:spacing w:after="0" w:line="360" w:lineRule="auto"/>
        <w:rPr>
          <w:rFonts w:ascii="Arial" w:eastAsia="Times New Roman" w:hAnsi="Arial" w:cs="Arial"/>
          <w:bCs/>
          <w:color w:val="000000" w:themeColor="text1"/>
          <w:sz w:val="24"/>
          <w:szCs w:val="24"/>
          <w:lang w:val="en-US" w:eastAsia="en-ZA"/>
        </w:rPr>
      </w:pPr>
    </w:p>
    <w:p w14:paraId="0A869480" w14:textId="5E42BC8B" w:rsidR="00FA4A02" w:rsidRPr="00474226" w:rsidRDefault="00FA4A02" w:rsidP="00FA4A02">
      <w:pPr>
        <w:pStyle w:val="ListParagraph"/>
        <w:numPr>
          <w:ilvl w:val="0"/>
          <w:numId w:val="13"/>
        </w:numPr>
        <w:spacing w:after="0" w:line="360" w:lineRule="auto"/>
        <w:rPr>
          <w:rFonts w:ascii="Arial" w:eastAsia="Times New Roman" w:hAnsi="Arial" w:cs="Arial"/>
          <w:b/>
          <w:color w:val="000000" w:themeColor="text1"/>
          <w:sz w:val="24"/>
          <w:szCs w:val="24"/>
          <w:lang w:val="en-US" w:eastAsia="en-ZA"/>
        </w:rPr>
      </w:pPr>
      <w:r w:rsidRPr="00474226">
        <w:rPr>
          <w:rFonts w:ascii="Arial" w:eastAsia="Times New Roman" w:hAnsi="Arial" w:cs="Arial"/>
          <w:b/>
          <w:color w:val="000000" w:themeColor="text1"/>
          <w:sz w:val="24"/>
          <w:szCs w:val="24"/>
          <w:lang w:val="en-US" w:eastAsia="en-ZA"/>
        </w:rPr>
        <w:t>F</w:t>
      </w:r>
      <w:r w:rsidR="00197FF9" w:rsidRPr="00474226">
        <w:rPr>
          <w:rFonts w:ascii="Arial" w:eastAsia="Times New Roman" w:hAnsi="Arial" w:cs="Arial"/>
          <w:b/>
          <w:color w:val="000000" w:themeColor="text1"/>
          <w:sz w:val="24"/>
          <w:szCs w:val="24"/>
          <w:lang w:val="en-US" w:eastAsia="en-ZA"/>
        </w:rPr>
        <w:t>INANCIAL IMPLICATIONS</w:t>
      </w:r>
    </w:p>
    <w:p w14:paraId="007FD6B2" w14:textId="79E64F73" w:rsidR="00821074" w:rsidRPr="00474226" w:rsidRDefault="00360780" w:rsidP="00F24333">
      <w:pPr>
        <w:spacing w:after="0" w:line="360" w:lineRule="auto"/>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The revenue and expenditure </w:t>
      </w:r>
      <w:r w:rsidR="0096737F" w:rsidRPr="00474226">
        <w:rPr>
          <w:rFonts w:ascii="Arial" w:eastAsia="Times New Roman" w:hAnsi="Arial" w:cs="Arial"/>
          <w:bCs/>
          <w:color w:val="000000" w:themeColor="text1"/>
          <w:sz w:val="24"/>
          <w:szCs w:val="24"/>
          <w:lang w:val="en-US" w:eastAsia="en-ZA"/>
        </w:rPr>
        <w:t>estimates</w:t>
      </w:r>
      <w:r w:rsidRPr="00474226">
        <w:rPr>
          <w:rFonts w:ascii="Arial" w:eastAsia="Times New Roman" w:hAnsi="Arial" w:cs="Arial"/>
          <w:bCs/>
          <w:color w:val="000000" w:themeColor="text1"/>
          <w:sz w:val="24"/>
          <w:szCs w:val="24"/>
          <w:lang w:val="en-US" w:eastAsia="en-ZA"/>
        </w:rPr>
        <w:t xml:space="preserve"> will be </w:t>
      </w:r>
      <w:r w:rsidR="0096737F" w:rsidRPr="00474226">
        <w:rPr>
          <w:rFonts w:ascii="Arial" w:eastAsia="Times New Roman" w:hAnsi="Arial" w:cs="Arial"/>
          <w:bCs/>
          <w:color w:val="000000" w:themeColor="text1"/>
          <w:sz w:val="24"/>
          <w:szCs w:val="24"/>
          <w:lang w:val="en-US" w:eastAsia="en-ZA"/>
        </w:rPr>
        <w:t xml:space="preserve">included in the </w:t>
      </w:r>
      <w:r w:rsidR="00F24333" w:rsidRPr="00474226">
        <w:rPr>
          <w:rFonts w:ascii="Arial" w:eastAsia="Times New Roman" w:hAnsi="Arial" w:cs="Arial"/>
          <w:bCs/>
          <w:color w:val="000000" w:themeColor="text1"/>
          <w:sz w:val="24"/>
          <w:szCs w:val="24"/>
          <w:lang w:val="en-US" w:eastAsia="en-ZA"/>
        </w:rPr>
        <w:t>budget.</w:t>
      </w:r>
    </w:p>
    <w:p w14:paraId="6E05667F" w14:textId="77777777" w:rsidR="00197FF9" w:rsidRPr="00474226" w:rsidRDefault="00197FF9" w:rsidP="00197FF9">
      <w:pPr>
        <w:pStyle w:val="ListParagraph"/>
        <w:spacing w:after="0" w:line="360" w:lineRule="auto"/>
        <w:rPr>
          <w:rFonts w:ascii="Arial" w:eastAsia="Times New Roman" w:hAnsi="Arial" w:cs="Arial"/>
          <w:b/>
          <w:color w:val="000000" w:themeColor="text1"/>
          <w:sz w:val="24"/>
          <w:szCs w:val="24"/>
          <w:lang w:val="en-US" w:eastAsia="en-ZA"/>
        </w:rPr>
      </w:pPr>
    </w:p>
    <w:p w14:paraId="3DF3E4F8" w14:textId="77777777" w:rsidR="00AD76AC" w:rsidRPr="00474226" w:rsidRDefault="00AD76AC" w:rsidP="00197FF9">
      <w:pPr>
        <w:pStyle w:val="ListParagraph"/>
        <w:numPr>
          <w:ilvl w:val="0"/>
          <w:numId w:val="13"/>
        </w:numPr>
        <w:spacing w:after="0" w:line="360" w:lineRule="auto"/>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 xml:space="preserve">RISK IMPLICATIONS </w:t>
      </w:r>
    </w:p>
    <w:p w14:paraId="50A3DFBA" w14:textId="77777777" w:rsidR="00AD76AC" w:rsidRPr="00474226" w:rsidRDefault="00AD76AC" w:rsidP="00C601CF">
      <w:pPr>
        <w:spacing w:after="0" w:line="360" w:lineRule="auto"/>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Non adherence to MFMA if council does not approve the budget timeously.</w:t>
      </w:r>
    </w:p>
    <w:p w14:paraId="39CAB00C" w14:textId="77777777" w:rsidR="00AD76AC" w:rsidRPr="00474226" w:rsidRDefault="00AD76AC" w:rsidP="00C601CF">
      <w:pPr>
        <w:spacing w:after="0" w:line="360" w:lineRule="auto"/>
        <w:rPr>
          <w:rFonts w:ascii="Arial" w:eastAsia="Times New Roman" w:hAnsi="Arial" w:cs="Arial"/>
          <w:b/>
          <w:bCs/>
          <w:color w:val="000000" w:themeColor="text1"/>
          <w:sz w:val="24"/>
          <w:szCs w:val="24"/>
          <w:lang w:val="en-US" w:eastAsia="en-ZA"/>
        </w:rPr>
      </w:pPr>
    </w:p>
    <w:p w14:paraId="70B04031" w14:textId="77777777" w:rsidR="005C3FA5" w:rsidRPr="00474226" w:rsidRDefault="005C3FA5" w:rsidP="00C601CF">
      <w:pPr>
        <w:spacing w:after="0" w:line="360" w:lineRule="auto"/>
        <w:rPr>
          <w:rFonts w:ascii="Arial" w:eastAsia="Times New Roman" w:hAnsi="Arial" w:cs="Arial"/>
          <w:bCs/>
          <w:color w:val="000000" w:themeColor="text1"/>
          <w:sz w:val="24"/>
          <w:szCs w:val="24"/>
          <w:lang w:val="en-US" w:eastAsia="en-ZA"/>
        </w:rPr>
      </w:pPr>
    </w:p>
    <w:p w14:paraId="349B8F9D" w14:textId="77777777" w:rsidR="00AD76AC" w:rsidRPr="00474226" w:rsidRDefault="00AD76AC" w:rsidP="00F35DBF">
      <w:pPr>
        <w:pStyle w:val="ListParagraph"/>
        <w:numPr>
          <w:ilvl w:val="0"/>
          <w:numId w:val="13"/>
        </w:numPr>
        <w:spacing w:after="0" w:line="360" w:lineRule="auto"/>
        <w:rPr>
          <w:rFonts w:ascii="Arial" w:eastAsia="Times New Roman" w:hAnsi="Arial" w:cs="Arial"/>
          <w:b/>
          <w:bCs/>
          <w:color w:val="000000" w:themeColor="text1"/>
          <w:sz w:val="24"/>
          <w:szCs w:val="24"/>
          <w:lang w:val="en-US" w:eastAsia="en-ZA"/>
        </w:rPr>
      </w:pPr>
      <w:r w:rsidRPr="00474226">
        <w:rPr>
          <w:rFonts w:ascii="Arial" w:eastAsia="Times New Roman" w:hAnsi="Arial" w:cs="Arial"/>
          <w:b/>
          <w:bCs/>
          <w:color w:val="000000" w:themeColor="text1"/>
          <w:sz w:val="24"/>
          <w:szCs w:val="24"/>
          <w:lang w:val="en-US" w:eastAsia="en-ZA"/>
        </w:rPr>
        <w:t xml:space="preserve">CHANGE MANAGEMENT IMPLICATIONS </w:t>
      </w:r>
    </w:p>
    <w:p w14:paraId="4EE13E98" w14:textId="6F46C267" w:rsidR="00AD76AC" w:rsidRPr="00474226" w:rsidRDefault="00AD76AC" w:rsidP="00C601CF">
      <w:pPr>
        <w:spacing w:after="0" w:line="240" w:lineRule="auto"/>
        <w:rPr>
          <w:rFonts w:ascii="Arial" w:eastAsia="Times New Roman" w:hAnsi="Arial" w:cs="Arial"/>
          <w:bCs/>
          <w:color w:val="000000" w:themeColor="text1"/>
          <w:sz w:val="24"/>
          <w:szCs w:val="24"/>
          <w:lang w:val="en-US" w:eastAsia="en-ZA"/>
        </w:rPr>
      </w:pPr>
      <w:r w:rsidRPr="00474226">
        <w:rPr>
          <w:rFonts w:ascii="Arial" w:eastAsia="Times New Roman" w:hAnsi="Arial" w:cs="Arial"/>
          <w:bCs/>
          <w:color w:val="000000" w:themeColor="text1"/>
          <w:sz w:val="24"/>
          <w:szCs w:val="24"/>
          <w:lang w:val="en-US" w:eastAsia="en-ZA"/>
        </w:rPr>
        <w:t xml:space="preserve">Ensure compliance to MFMA and timely submission of </w:t>
      </w:r>
      <w:r w:rsidR="003D20AE" w:rsidRPr="00474226">
        <w:rPr>
          <w:rFonts w:ascii="Arial" w:eastAsia="Times New Roman" w:hAnsi="Arial" w:cs="Arial"/>
          <w:bCs/>
          <w:color w:val="000000" w:themeColor="text1"/>
          <w:sz w:val="24"/>
          <w:szCs w:val="24"/>
          <w:lang w:val="en-US" w:eastAsia="en-ZA"/>
        </w:rPr>
        <w:t>draft</w:t>
      </w:r>
      <w:r w:rsidRPr="00474226">
        <w:rPr>
          <w:rFonts w:ascii="Arial" w:eastAsia="Times New Roman" w:hAnsi="Arial" w:cs="Arial"/>
          <w:bCs/>
          <w:color w:val="000000" w:themeColor="text1"/>
          <w:sz w:val="24"/>
          <w:szCs w:val="24"/>
          <w:lang w:val="en-US" w:eastAsia="en-ZA"/>
        </w:rPr>
        <w:t xml:space="preserve"> bu</w:t>
      </w:r>
      <w:r w:rsidR="00CB7013" w:rsidRPr="00474226">
        <w:rPr>
          <w:rFonts w:ascii="Arial" w:eastAsia="Times New Roman" w:hAnsi="Arial" w:cs="Arial"/>
          <w:bCs/>
          <w:color w:val="000000" w:themeColor="text1"/>
          <w:sz w:val="24"/>
          <w:szCs w:val="24"/>
          <w:lang w:val="en-US" w:eastAsia="en-ZA"/>
        </w:rPr>
        <w:t xml:space="preserve">dget on schedule </w:t>
      </w:r>
      <w:r w:rsidR="002B7B53" w:rsidRPr="00474226">
        <w:rPr>
          <w:rFonts w:ascii="Arial" w:eastAsia="Times New Roman" w:hAnsi="Arial" w:cs="Arial"/>
          <w:bCs/>
          <w:color w:val="000000" w:themeColor="text1"/>
          <w:sz w:val="24"/>
          <w:szCs w:val="24"/>
          <w:lang w:val="en-US" w:eastAsia="en-ZA"/>
        </w:rPr>
        <w:t>A,</w:t>
      </w:r>
      <w:r w:rsidR="00C34E30" w:rsidRPr="00474226">
        <w:rPr>
          <w:rFonts w:ascii="Arial" w:eastAsia="Times New Roman" w:hAnsi="Arial" w:cs="Arial"/>
          <w:bCs/>
          <w:color w:val="000000" w:themeColor="text1"/>
          <w:sz w:val="24"/>
          <w:szCs w:val="24"/>
          <w:lang w:val="en-US" w:eastAsia="en-ZA"/>
        </w:rPr>
        <w:t xml:space="preserve"> version 6.</w:t>
      </w:r>
      <w:r w:rsidR="00306F01" w:rsidRPr="00474226">
        <w:rPr>
          <w:rFonts w:ascii="Arial" w:eastAsia="Times New Roman" w:hAnsi="Arial" w:cs="Arial"/>
          <w:bCs/>
          <w:color w:val="000000" w:themeColor="text1"/>
          <w:sz w:val="24"/>
          <w:szCs w:val="24"/>
          <w:lang w:val="en-US" w:eastAsia="en-ZA"/>
        </w:rPr>
        <w:t>8</w:t>
      </w:r>
      <w:r w:rsidRPr="00474226">
        <w:rPr>
          <w:rFonts w:ascii="Arial" w:eastAsia="Times New Roman" w:hAnsi="Arial" w:cs="Arial"/>
          <w:bCs/>
          <w:color w:val="000000" w:themeColor="text1"/>
          <w:sz w:val="24"/>
          <w:szCs w:val="24"/>
          <w:lang w:val="en-US" w:eastAsia="en-ZA"/>
        </w:rPr>
        <w:t xml:space="preserve"> in line with Municipal Budget and Reporting Regulations</w:t>
      </w:r>
    </w:p>
    <w:p w14:paraId="322B2EC7" w14:textId="77777777" w:rsidR="00AD76AC" w:rsidRPr="00474226" w:rsidRDefault="00AD76AC" w:rsidP="00C601CF">
      <w:pPr>
        <w:spacing w:after="0" w:line="360" w:lineRule="auto"/>
        <w:rPr>
          <w:rFonts w:ascii="Arial" w:eastAsia="Times New Roman" w:hAnsi="Arial" w:cs="Arial"/>
          <w:b/>
          <w:bCs/>
          <w:color w:val="000000" w:themeColor="text1"/>
          <w:sz w:val="24"/>
          <w:szCs w:val="24"/>
          <w:lang w:val="en-US" w:eastAsia="en-ZA"/>
        </w:rPr>
      </w:pPr>
    </w:p>
    <w:p w14:paraId="4099FBC7" w14:textId="77777777" w:rsidR="00AD76AC" w:rsidRPr="00474226" w:rsidRDefault="00AD76AC" w:rsidP="00C601CF">
      <w:pPr>
        <w:spacing w:after="0" w:line="360" w:lineRule="auto"/>
        <w:jc w:val="both"/>
        <w:rPr>
          <w:rFonts w:ascii="Arial" w:eastAsia="Times New Roman" w:hAnsi="Arial" w:cs="Arial"/>
          <w:b/>
          <w:color w:val="000000" w:themeColor="text1"/>
          <w:sz w:val="24"/>
          <w:szCs w:val="24"/>
          <w:lang w:val="en-US"/>
        </w:rPr>
      </w:pPr>
    </w:p>
    <w:p w14:paraId="35C848DB" w14:textId="77777777" w:rsidR="00877B5C" w:rsidRPr="00474226" w:rsidRDefault="00877B5C" w:rsidP="00C601CF">
      <w:pPr>
        <w:spacing w:after="0" w:line="360" w:lineRule="auto"/>
        <w:jc w:val="both"/>
        <w:rPr>
          <w:rFonts w:ascii="Arial" w:eastAsia="Times New Roman" w:hAnsi="Arial" w:cs="Arial"/>
          <w:b/>
          <w:color w:val="000000" w:themeColor="text1"/>
          <w:sz w:val="24"/>
          <w:szCs w:val="24"/>
          <w:lang w:val="en-US"/>
        </w:rPr>
      </w:pPr>
    </w:p>
    <w:p w14:paraId="12EAD14E" w14:textId="77777777" w:rsidR="00877B5C" w:rsidRPr="00474226" w:rsidRDefault="00877B5C" w:rsidP="00C601CF">
      <w:pPr>
        <w:spacing w:after="0" w:line="360" w:lineRule="auto"/>
        <w:jc w:val="both"/>
        <w:rPr>
          <w:rFonts w:ascii="Arial" w:eastAsia="Times New Roman" w:hAnsi="Arial" w:cs="Arial"/>
          <w:b/>
          <w:color w:val="000000" w:themeColor="text1"/>
          <w:sz w:val="24"/>
          <w:szCs w:val="24"/>
          <w:lang w:val="en-US"/>
        </w:rPr>
      </w:pPr>
    </w:p>
    <w:p w14:paraId="3961D658" w14:textId="77777777" w:rsidR="00877B5C" w:rsidRPr="00474226" w:rsidRDefault="00877B5C" w:rsidP="00C601CF">
      <w:pPr>
        <w:spacing w:after="0" w:line="360" w:lineRule="auto"/>
        <w:jc w:val="both"/>
        <w:rPr>
          <w:rFonts w:ascii="Arial" w:eastAsia="Times New Roman" w:hAnsi="Arial" w:cs="Arial"/>
          <w:b/>
          <w:color w:val="000000" w:themeColor="text1"/>
          <w:sz w:val="24"/>
          <w:szCs w:val="24"/>
          <w:lang w:val="en-US"/>
        </w:rPr>
      </w:pPr>
    </w:p>
    <w:p w14:paraId="6E5CE1F3" w14:textId="77777777" w:rsidR="00D935BE" w:rsidRPr="00474226" w:rsidRDefault="00D935BE" w:rsidP="00C601CF">
      <w:pPr>
        <w:spacing w:after="0" w:line="360" w:lineRule="auto"/>
        <w:jc w:val="both"/>
        <w:rPr>
          <w:rFonts w:ascii="Arial" w:eastAsia="Times New Roman" w:hAnsi="Arial" w:cs="Arial"/>
          <w:b/>
          <w:color w:val="000000" w:themeColor="text1"/>
          <w:sz w:val="24"/>
          <w:szCs w:val="24"/>
          <w:lang w:val="en-US"/>
        </w:rPr>
      </w:pPr>
    </w:p>
    <w:p w14:paraId="7C550D40" w14:textId="07F751AC" w:rsidR="00AD76AC" w:rsidRPr="00474226" w:rsidRDefault="00AD76AC" w:rsidP="00C601CF">
      <w:pPr>
        <w:spacing w:after="0" w:line="360" w:lineRule="auto"/>
        <w:jc w:val="both"/>
        <w:rPr>
          <w:rFonts w:ascii="Arial" w:eastAsia="Times New Roman" w:hAnsi="Arial" w:cs="Arial"/>
          <w:b/>
          <w:color w:val="000000" w:themeColor="text1"/>
          <w:sz w:val="24"/>
          <w:szCs w:val="24"/>
          <w:lang w:val="en-US"/>
        </w:rPr>
      </w:pPr>
      <w:r w:rsidRPr="00474226">
        <w:rPr>
          <w:rFonts w:ascii="Arial" w:eastAsia="Times New Roman" w:hAnsi="Arial" w:cs="Arial"/>
          <w:b/>
          <w:color w:val="000000" w:themeColor="text1"/>
          <w:sz w:val="24"/>
          <w:szCs w:val="24"/>
          <w:lang w:val="en-US"/>
        </w:rPr>
        <w:t>RECOMMENDATION</w:t>
      </w:r>
      <w:r w:rsidR="00EA0BD1" w:rsidRPr="00474226">
        <w:rPr>
          <w:rFonts w:ascii="Arial" w:eastAsia="Times New Roman" w:hAnsi="Arial" w:cs="Arial"/>
          <w:b/>
          <w:color w:val="000000" w:themeColor="text1"/>
          <w:sz w:val="24"/>
          <w:szCs w:val="24"/>
          <w:lang w:val="en-US"/>
        </w:rPr>
        <w:t>S</w:t>
      </w:r>
      <w:r w:rsidRPr="00474226">
        <w:rPr>
          <w:rFonts w:ascii="Arial" w:eastAsia="Times New Roman" w:hAnsi="Arial" w:cs="Arial"/>
          <w:b/>
          <w:color w:val="000000" w:themeColor="text1"/>
          <w:sz w:val="24"/>
          <w:szCs w:val="24"/>
          <w:lang w:val="en-US"/>
        </w:rPr>
        <w:t xml:space="preserve"> </w:t>
      </w:r>
    </w:p>
    <w:p w14:paraId="65EA58B1" w14:textId="77777777" w:rsidR="00AD76AC" w:rsidRPr="00474226" w:rsidRDefault="00AD76AC" w:rsidP="00C601CF">
      <w:pPr>
        <w:spacing w:after="0" w:line="480" w:lineRule="auto"/>
        <w:ind w:left="426" w:hanging="426"/>
        <w:jc w:val="both"/>
        <w:rPr>
          <w:rFonts w:ascii="Arial" w:eastAsia="Times New Roman" w:hAnsi="Arial" w:cs="Arial"/>
          <w:b/>
          <w:color w:val="000000" w:themeColor="text1"/>
          <w:sz w:val="24"/>
          <w:szCs w:val="24"/>
          <w:lang w:val="en-US"/>
        </w:rPr>
      </w:pPr>
    </w:p>
    <w:p w14:paraId="6A5975A9" w14:textId="35D86076" w:rsidR="00AD76AC" w:rsidRPr="00474226" w:rsidRDefault="00560F1F" w:rsidP="00C601CF">
      <w:pPr>
        <w:numPr>
          <w:ilvl w:val="0"/>
          <w:numId w:val="3"/>
        </w:numPr>
        <w:spacing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That</w:t>
      </w:r>
      <w:r w:rsidR="00AD76AC" w:rsidRPr="00474226">
        <w:rPr>
          <w:rFonts w:ascii="Arial" w:eastAsia="Calibri" w:hAnsi="Arial" w:cs="Arial"/>
          <w:color w:val="000000" w:themeColor="text1"/>
          <w:sz w:val="24"/>
          <w:szCs w:val="24"/>
          <w:lang w:val="en-ZA"/>
        </w:rPr>
        <w:t xml:space="preserve"> the Capital and Op</w:t>
      </w:r>
      <w:r w:rsidR="00CB7013" w:rsidRPr="00474226">
        <w:rPr>
          <w:rFonts w:ascii="Arial" w:eastAsia="Calibri" w:hAnsi="Arial" w:cs="Arial"/>
          <w:color w:val="000000" w:themeColor="text1"/>
          <w:sz w:val="24"/>
          <w:szCs w:val="24"/>
          <w:lang w:val="en-ZA"/>
        </w:rPr>
        <w:t xml:space="preserve">erational Estimates </w:t>
      </w:r>
      <w:r w:rsidR="00C34E30" w:rsidRPr="00474226">
        <w:rPr>
          <w:rFonts w:ascii="Arial" w:eastAsia="Calibri" w:hAnsi="Arial" w:cs="Arial"/>
          <w:color w:val="000000" w:themeColor="text1"/>
          <w:sz w:val="24"/>
          <w:szCs w:val="24"/>
          <w:lang w:val="en-ZA"/>
        </w:rPr>
        <w:t>for the 202</w:t>
      </w:r>
      <w:r w:rsidR="00837D5D" w:rsidRPr="00474226">
        <w:rPr>
          <w:rFonts w:ascii="Arial" w:eastAsia="Calibri" w:hAnsi="Arial" w:cs="Arial"/>
          <w:color w:val="000000" w:themeColor="text1"/>
          <w:sz w:val="24"/>
          <w:szCs w:val="24"/>
          <w:lang w:val="en-ZA"/>
        </w:rPr>
        <w:t>4</w:t>
      </w:r>
      <w:r w:rsidR="00C34E30" w:rsidRPr="00474226">
        <w:rPr>
          <w:rFonts w:ascii="Arial" w:eastAsia="Calibri" w:hAnsi="Arial" w:cs="Arial"/>
          <w:color w:val="000000" w:themeColor="text1"/>
          <w:sz w:val="24"/>
          <w:szCs w:val="24"/>
          <w:lang w:val="en-ZA"/>
        </w:rPr>
        <w:t>/202</w:t>
      </w:r>
      <w:r w:rsidR="00837D5D" w:rsidRPr="00474226">
        <w:rPr>
          <w:rFonts w:ascii="Arial" w:eastAsia="Calibri" w:hAnsi="Arial" w:cs="Arial"/>
          <w:color w:val="000000" w:themeColor="text1"/>
          <w:sz w:val="24"/>
          <w:szCs w:val="24"/>
          <w:lang w:val="en-ZA"/>
        </w:rPr>
        <w:t>5</w:t>
      </w:r>
      <w:r w:rsidR="00AD76AC" w:rsidRPr="00474226">
        <w:rPr>
          <w:rFonts w:ascii="Arial" w:eastAsia="Calibri" w:hAnsi="Arial" w:cs="Arial"/>
          <w:color w:val="000000" w:themeColor="text1"/>
          <w:sz w:val="24"/>
          <w:szCs w:val="24"/>
          <w:lang w:val="en-ZA"/>
        </w:rPr>
        <w:t xml:space="preserve"> financial year as fully recorded in the report in this regard be approved and that the Accounting Officer proceeds with the publication of the Annual Budget as </w:t>
      </w:r>
      <w:r w:rsidR="00971AE5" w:rsidRPr="00474226">
        <w:rPr>
          <w:rFonts w:ascii="Arial" w:eastAsia="Calibri" w:hAnsi="Arial" w:cs="Arial"/>
          <w:color w:val="000000" w:themeColor="text1"/>
          <w:sz w:val="24"/>
          <w:szCs w:val="24"/>
          <w:lang w:val="en-ZA"/>
        </w:rPr>
        <w:t>outlined</w:t>
      </w:r>
      <w:r w:rsidR="00AD76AC" w:rsidRPr="00474226">
        <w:rPr>
          <w:rFonts w:ascii="Arial" w:eastAsia="Calibri" w:hAnsi="Arial" w:cs="Arial"/>
          <w:color w:val="000000" w:themeColor="text1"/>
          <w:sz w:val="24"/>
          <w:szCs w:val="24"/>
          <w:lang w:val="en-ZA"/>
        </w:rPr>
        <w:t xml:space="preserve"> in section 22 of the Municipal Finance Management Act 56 of 2003.</w:t>
      </w:r>
    </w:p>
    <w:p w14:paraId="0503BBCD" w14:textId="77777777" w:rsidR="00AD76AC" w:rsidRPr="00474226" w:rsidRDefault="00AD76AC" w:rsidP="00C601CF">
      <w:pPr>
        <w:spacing w:after="200" w:line="240" w:lineRule="auto"/>
        <w:ind w:left="426" w:hanging="426"/>
        <w:contextualSpacing/>
        <w:jc w:val="both"/>
        <w:rPr>
          <w:rFonts w:ascii="Arial" w:eastAsia="Calibri" w:hAnsi="Arial" w:cs="Arial"/>
          <w:color w:val="000000" w:themeColor="text1"/>
          <w:sz w:val="24"/>
          <w:szCs w:val="24"/>
          <w:lang w:val="en-ZA"/>
        </w:rPr>
      </w:pPr>
    </w:p>
    <w:p w14:paraId="7B484E0F" w14:textId="7B15AAFE" w:rsidR="00AD76AC" w:rsidRPr="00474226" w:rsidRDefault="00560F1F" w:rsidP="00C601CF">
      <w:pPr>
        <w:numPr>
          <w:ilvl w:val="0"/>
          <w:numId w:val="3"/>
        </w:numPr>
        <w:spacing w:before="240" w:after="200" w:line="240" w:lineRule="auto"/>
        <w:ind w:left="426" w:hanging="426"/>
        <w:contextualSpacing/>
        <w:jc w:val="both"/>
        <w:rPr>
          <w:rFonts w:ascii="Arial" w:eastAsia="Calibri" w:hAnsi="Arial" w:cs="Arial"/>
          <w:b/>
          <w:color w:val="000000" w:themeColor="text1"/>
          <w:sz w:val="24"/>
          <w:szCs w:val="24"/>
          <w:lang w:val="en-ZA"/>
        </w:rPr>
      </w:pPr>
      <w:r w:rsidRPr="00474226">
        <w:rPr>
          <w:rFonts w:ascii="Arial" w:eastAsia="Calibri" w:hAnsi="Arial" w:cs="Arial"/>
          <w:color w:val="000000" w:themeColor="text1"/>
          <w:sz w:val="24"/>
          <w:szCs w:val="24"/>
          <w:lang w:val="en-ZA"/>
        </w:rPr>
        <w:t>That</w:t>
      </w:r>
      <w:r w:rsidR="00A87B10" w:rsidRPr="00474226">
        <w:rPr>
          <w:rFonts w:ascii="Arial" w:eastAsia="Calibri" w:hAnsi="Arial" w:cs="Arial"/>
          <w:color w:val="000000" w:themeColor="text1"/>
          <w:sz w:val="24"/>
          <w:szCs w:val="24"/>
          <w:lang w:val="en-ZA"/>
        </w:rPr>
        <w:t xml:space="preserve"> the </w:t>
      </w:r>
      <w:r w:rsidR="00C34E30" w:rsidRPr="00474226">
        <w:rPr>
          <w:rFonts w:ascii="Arial" w:eastAsia="Calibri" w:hAnsi="Arial" w:cs="Arial"/>
          <w:color w:val="000000" w:themeColor="text1"/>
          <w:sz w:val="24"/>
          <w:szCs w:val="24"/>
          <w:lang w:val="en-ZA"/>
        </w:rPr>
        <w:t>202</w:t>
      </w:r>
      <w:r w:rsidR="00F405CD" w:rsidRPr="00474226">
        <w:rPr>
          <w:rFonts w:ascii="Arial" w:eastAsia="Calibri" w:hAnsi="Arial" w:cs="Arial"/>
          <w:color w:val="000000" w:themeColor="text1"/>
          <w:sz w:val="24"/>
          <w:szCs w:val="24"/>
          <w:lang w:val="en-ZA"/>
        </w:rPr>
        <w:t>4</w:t>
      </w:r>
      <w:r w:rsidR="00C34E30" w:rsidRPr="00474226">
        <w:rPr>
          <w:rFonts w:ascii="Arial" w:eastAsia="Calibri" w:hAnsi="Arial" w:cs="Arial"/>
          <w:color w:val="000000" w:themeColor="text1"/>
          <w:sz w:val="24"/>
          <w:szCs w:val="24"/>
          <w:lang w:val="en-ZA"/>
        </w:rPr>
        <w:t>/202</w:t>
      </w:r>
      <w:r w:rsidR="00F405CD" w:rsidRPr="00474226">
        <w:rPr>
          <w:rFonts w:ascii="Arial" w:eastAsia="Calibri" w:hAnsi="Arial" w:cs="Arial"/>
          <w:color w:val="000000" w:themeColor="text1"/>
          <w:sz w:val="24"/>
          <w:szCs w:val="24"/>
          <w:lang w:val="en-ZA"/>
        </w:rPr>
        <w:t>5</w:t>
      </w:r>
      <w:r w:rsidR="00AD76AC" w:rsidRPr="00474226">
        <w:rPr>
          <w:rFonts w:ascii="Arial" w:eastAsia="Calibri" w:hAnsi="Arial" w:cs="Arial"/>
          <w:color w:val="000000" w:themeColor="text1"/>
          <w:sz w:val="24"/>
          <w:szCs w:val="24"/>
          <w:lang w:val="en-ZA"/>
        </w:rPr>
        <w:t xml:space="preserve"> financial year budget related policies be approved as more fully set out in </w:t>
      </w:r>
      <w:r w:rsidR="00AD76AC" w:rsidRPr="00474226">
        <w:rPr>
          <w:rFonts w:ascii="Arial" w:eastAsia="Calibri" w:hAnsi="Arial" w:cs="Arial"/>
          <w:b/>
          <w:color w:val="000000" w:themeColor="text1"/>
          <w:sz w:val="24"/>
          <w:szCs w:val="24"/>
          <w:lang w:val="en-ZA"/>
        </w:rPr>
        <w:t xml:space="preserve">Part 2 of supporting documents in the budget </w:t>
      </w:r>
    </w:p>
    <w:p w14:paraId="1FE78432" w14:textId="77777777" w:rsidR="00AD76AC" w:rsidRPr="00474226" w:rsidRDefault="00AD76AC" w:rsidP="00C601CF">
      <w:pPr>
        <w:spacing w:after="200" w:line="276" w:lineRule="auto"/>
        <w:ind w:left="426" w:hanging="426"/>
        <w:contextualSpacing/>
        <w:rPr>
          <w:rFonts w:ascii="Arial" w:eastAsia="Calibri" w:hAnsi="Arial" w:cs="Arial"/>
          <w:color w:val="000000" w:themeColor="text1"/>
          <w:sz w:val="24"/>
          <w:szCs w:val="24"/>
          <w:lang w:val="en-ZA"/>
        </w:rPr>
      </w:pPr>
    </w:p>
    <w:p w14:paraId="0FC737A0" w14:textId="77777777" w:rsidR="00AD76AC" w:rsidRPr="00474226" w:rsidRDefault="00AD76AC" w:rsidP="00C601CF">
      <w:pPr>
        <w:spacing w:before="240" w:after="200" w:line="240" w:lineRule="auto"/>
        <w:ind w:left="426" w:hanging="426"/>
        <w:contextualSpacing/>
        <w:jc w:val="both"/>
        <w:rPr>
          <w:rFonts w:ascii="Arial" w:eastAsia="Calibri" w:hAnsi="Arial" w:cs="Arial"/>
          <w:color w:val="000000" w:themeColor="text1"/>
          <w:sz w:val="24"/>
          <w:szCs w:val="24"/>
          <w:lang w:val="en-ZA"/>
        </w:rPr>
      </w:pPr>
    </w:p>
    <w:p w14:paraId="68ADB736" w14:textId="6121EBDD" w:rsidR="00AD76AC" w:rsidRPr="00474226" w:rsidRDefault="00560F1F" w:rsidP="00C601CF">
      <w:pPr>
        <w:numPr>
          <w:ilvl w:val="0"/>
          <w:numId w:val="3"/>
        </w:numPr>
        <w:spacing w:after="200" w:line="240" w:lineRule="auto"/>
        <w:ind w:left="426" w:hanging="426"/>
        <w:contextualSpacing/>
        <w:jc w:val="both"/>
        <w:rPr>
          <w:rFonts w:ascii="Arial" w:eastAsia="Calibri" w:hAnsi="Arial" w:cs="Arial"/>
          <w:b/>
          <w:color w:val="000000" w:themeColor="text1"/>
          <w:sz w:val="24"/>
          <w:szCs w:val="24"/>
          <w:lang w:val="en-ZA"/>
        </w:rPr>
      </w:pPr>
      <w:r w:rsidRPr="00474226">
        <w:rPr>
          <w:rFonts w:ascii="Arial" w:eastAsia="Calibri" w:hAnsi="Arial" w:cs="Arial"/>
          <w:color w:val="000000" w:themeColor="text1"/>
          <w:sz w:val="24"/>
          <w:szCs w:val="24"/>
          <w:lang w:val="en-ZA"/>
        </w:rPr>
        <w:t>That</w:t>
      </w:r>
      <w:r w:rsidR="00CB7013" w:rsidRPr="00474226">
        <w:rPr>
          <w:rFonts w:ascii="Arial" w:eastAsia="Calibri" w:hAnsi="Arial" w:cs="Arial"/>
          <w:color w:val="000000" w:themeColor="text1"/>
          <w:sz w:val="24"/>
          <w:szCs w:val="24"/>
          <w:lang w:val="en-ZA"/>
        </w:rPr>
        <w:t xml:space="preserve"> the </w:t>
      </w:r>
      <w:r w:rsidR="003D20AE" w:rsidRPr="00474226">
        <w:rPr>
          <w:rFonts w:ascii="Arial" w:eastAsia="Calibri" w:hAnsi="Arial" w:cs="Arial"/>
          <w:color w:val="000000" w:themeColor="text1"/>
          <w:sz w:val="24"/>
          <w:szCs w:val="24"/>
          <w:lang w:val="en-ZA"/>
        </w:rPr>
        <w:t>draft</w:t>
      </w:r>
      <w:r w:rsidR="00074AF9" w:rsidRPr="00474226">
        <w:rPr>
          <w:rFonts w:ascii="Arial" w:eastAsia="Calibri" w:hAnsi="Arial" w:cs="Arial"/>
          <w:color w:val="000000" w:themeColor="text1"/>
          <w:sz w:val="24"/>
          <w:szCs w:val="24"/>
          <w:lang w:val="en-ZA"/>
        </w:rPr>
        <w:t xml:space="preserve"> </w:t>
      </w:r>
      <w:r w:rsidR="00CB7013" w:rsidRPr="00474226">
        <w:rPr>
          <w:rFonts w:ascii="Arial" w:eastAsia="Calibri" w:hAnsi="Arial" w:cs="Arial"/>
          <w:color w:val="000000" w:themeColor="text1"/>
          <w:sz w:val="24"/>
          <w:szCs w:val="24"/>
          <w:lang w:val="en-ZA"/>
        </w:rPr>
        <w:t>2</w:t>
      </w:r>
      <w:r w:rsidR="00C34E30" w:rsidRPr="00474226">
        <w:rPr>
          <w:rFonts w:ascii="Arial" w:eastAsia="Calibri" w:hAnsi="Arial" w:cs="Arial"/>
          <w:color w:val="000000" w:themeColor="text1"/>
          <w:sz w:val="24"/>
          <w:szCs w:val="24"/>
          <w:lang w:val="en-ZA"/>
        </w:rPr>
        <w:t>02</w:t>
      </w:r>
      <w:r w:rsidR="00AB5402" w:rsidRPr="00474226">
        <w:rPr>
          <w:rFonts w:ascii="Arial" w:eastAsia="Calibri" w:hAnsi="Arial" w:cs="Arial"/>
          <w:color w:val="000000" w:themeColor="text1"/>
          <w:sz w:val="24"/>
          <w:szCs w:val="24"/>
          <w:lang w:val="en-ZA"/>
        </w:rPr>
        <w:t>4</w:t>
      </w:r>
      <w:r w:rsidR="00C34E30" w:rsidRPr="00474226">
        <w:rPr>
          <w:rFonts w:ascii="Arial" w:eastAsia="Calibri" w:hAnsi="Arial" w:cs="Arial"/>
          <w:color w:val="000000" w:themeColor="text1"/>
          <w:sz w:val="24"/>
          <w:szCs w:val="24"/>
          <w:lang w:val="en-ZA"/>
        </w:rPr>
        <w:t>/202</w:t>
      </w:r>
      <w:r w:rsidR="00AB5402" w:rsidRPr="00474226">
        <w:rPr>
          <w:rFonts w:ascii="Arial" w:eastAsia="Calibri" w:hAnsi="Arial" w:cs="Arial"/>
          <w:color w:val="000000" w:themeColor="text1"/>
          <w:sz w:val="24"/>
          <w:szCs w:val="24"/>
          <w:lang w:val="en-ZA"/>
        </w:rPr>
        <w:t>5</w:t>
      </w:r>
      <w:r w:rsidR="00AD76AC" w:rsidRPr="00474226">
        <w:rPr>
          <w:rFonts w:ascii="Arial" w:eastAsia="Calibri" w:hAnsi="Arial" w:cs="Arial"/>
          <w:color w:val="000000" w:themeColor="text1"/>
          <w:sz w:val="24"/>
          <w:szCs w:val="24"/>
          <w:lang w:val="en-ZA"/>
        </w:rPr>
        <w:t xml:space="preserve"> tariff listing for municipal services</w:t>
      </w:r>
      <w:r w:rsidR="007B1511" w:rsidRPr="00474226">
        <w:rPr>
          <w:rFonts w:ascii="Arial" w:eastAsia="Calibri" w:hAnsi="Arial" w:cs="Arial"/>
          <w:color w:val="000000" w:themeColor="text1"/>
          <w:sz w:val="24"/>
          <w:szCs w:val="24"/>
          <w:lang w:val="en-ZA"/>
        </w:rPr>
        <w:t xml:space="preserve"> as more fully set out in part 1 of supporting budget documents</w:t>
      </w:r>
      <w:r w:rsidR="00AD76AC" w:rsidRPr="00474226">
        <w:rPr>
          <w:rFonts w:ascii="Arial" w:eastAsia="Calibri" w:hAnsi="Arial" w:cs="Arial"/>
          <w:color w:val="000000" w:themeColor="text1"/>
          <w:sz w:val="24"/>
          <w:szCs w:val="24"/>
          <w:lang w:val="en-ZA"/>
        </w:rPr>
        <w:t xml:space="preserve"> be approved</w:t>
      </w:r>
      <w:bookmarkStart w:id="3" w:name="_Hlk161153018"/>
      <w:r w:rsidR="00474226" w:rsidRPr="00474226">
        <w:rPr>
          <w:rFonts w:ascii="Arial" w:eastAsia="Calibri" w:hAnsi="Arial" w:cs="Arial"/>
          <w:color w:val="000000" w:themeColor="text1"/>
          <w:sz w:val="24"/>
          <w:szCs w:val="24"/>
          <w:lang w:val="en-ZA"/>
        </w:rPr>
        <w:t xml:space="preserve"> and that the</w:t>
      </w:r>
      <w:r w:rsidR="00877B5C" w:rsidRPr="00474226">
        <w:rPr>
          <w:rFonts w:ascii="Arial" w:eastAsia="Calibri" w:hAnsi="Arial" w:cs="Arial"/>
          <w:color w:val="000000" w:themeColor="text1"/>
          <w:sz w:val="24"/>
          <w:szCs w:val="24"/>
          <w:lang w:val="en-ZA"/>
        </w:rPr>
        <w:t xml:space="preserve"> municipality will adopt  0% increase in Property Rates tariff due to the implementation of the new General Valuation Roll from 1 July 2024.</w:t>
      </w:r>
    </w:p>
    <w:bookmarkEnd w:id="3"/>
    <w:p w14:paraId="6B5A7465" w14:textId="77777777" w:rsidR="00AD76AC" w:rsidRPr="00474226" w:rsidRDefault="00AD76AC" w:rsidP="00C601CF">
      <w:pPr>
        <w:spacing w:after="200" w:line="240" w:lineRule="auto"/>
        <w:ind w:left="426" w:hanging="426"/>
        <w:contextualSpacing/>
        <w:jc w:val="both"/>
        <w:rPr>
          <w:rFonts w:ascii="Arial" w:eastAsia="Calibri" w:hAnsi="Arial" w:cs="Arial"/>
          <w:b/>
          <w:color w:val="000000" w:themeColor="text1"/>
          <w:sz w:val="24"/>
          <w:szCs w:val="24"/>
          <w:lang w:val="en-ZA"/>
        </w:rPr>
      </w:pPr>
    </w:p>
    <w:p w14:paraId="08304879" w14:textId="0F91C7F2" w:rsidR="00AD76AC" w:rsidRPr="00474226" w:rsidRDefault="00560F1F" w:rsidP="00C601CF">
      <w:pPr>
        <w:numPr>
          <w:ilvl w:val="0"/>
          <w:numId w:val="3"/>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That</w:t>
      </w:r>
      <w:r w:rsidR="00C34E30" w:rsidRPr="00474226">
        <w:rPr>
          <w:rFonts w:ascii="Arial" w:eastAsia="Calibri" w:hAnsi="Arial" w:cs="Arial"/>
          <w:color w:val="000000" w:themeColor="text1"/>
          <w:sz w:val="24"/>
          <w:szCs w:val="24"/>
          <w:lang w:val="en-ZA"/>
        </w:rPr>
        <w:t xml:space="preserve"> it be noted that the </w:t>
      </w:r>
      <w:r w:rsidR="003D20AE" w:rsidRPr="00474226">
        <w:rPr>
          <w:rFonts w:ascii="Arial" w:eastAsia="Calibri" w:hAnsi="Arial" w:cs="Arial"/>
          <w:color w:val="000000" w:themeColor="text1"/>
          <w:sz w:val="24"/>
          <w:szCs w:val="24"/>
          <w:lang w:val="en-ZA"/>
        </w:rPr>
        <w:t>draft</w:t>
      </w:r>
      <w:r w:rsidR="00C34E30" w:rsidRPr="00474226">
        <w:rPr>
          <w:rFonts w:ascii="Arial" w:eastAsia="Calibri" w:hAnsi="Arial" w:cs="Arial"/>
          <w:color w:val="000000" w:themeColor="text1"/>
          <w:sz w:val="24"/>
          <w:szCs w:val="24"/>
          <w:lang w:val="en-ZA"/>
        </w:rPr>
        <w:t xml:space="preserve"> 202</w:t>
      </w:r>
      <w:r w:rsidR="00FC06C7" w:rsidRPr="00474226">
        <w:rPr>
          <w:rFonts w:ascii="Arial" w:eastAsia="Calibri" w:hAnsi="Arial" w:cs="Arial"/>
          <w:color w:val="000000" w:themeColor="text1"/>
          <w:sz w:val="24"/>
          <w:szCs w:val="24"/>
          <w:lang w:val="en-ZA"/>
        </w:rPr>
        <w:t>4</w:t>
      </w:r>
      <w:r w:rsidR="00C34E30" w:rsidRPr="00474226">
        <w:rPr>
          <w:rFonts w:ascii="Arial" w:eastAsia="Calibri" w:hAnsi="Arial" w:cs="Arial"/>
          <w:color w:val="000000" w:themeColor="text1"/>
          <w:sz w:val="24"/>
          <w:szCs w:val="24"/>
          <w:lang w:val="en-ZA"/>
        </w:rPr>
        <w:t>/202</w:t>
      </w:r>
      <w:r w:rsidR="00FC06C7" w:rsidRPr="00474226">
        <w:rPr>
          <w:rFonts w:ascii="Arial" w:eastAsia="Calibri" w:hAnsi="Arial" w:cs="Arial"/>
          <w:color w:val="000000" w:themeColor="text1"/>
          <w:sz w:val="24"/>
          <w:szCs w:val="24"/>
          <w:lang w:val="en-ZA"/>
        </w:rPr>
        <w:t>5</w:t>
      </w:r>
      <w:r w:rsidR="00FD08F3" w:rsidRPr="00474226">
        <w:rPr>
          <w:rFonts w:ascii="Arial" w:eastAsia="Calibri" w:hAnsi="Arial" w:cs="Arial"/>
          <w:color w:val="000000" w:themeColor="text1"/>
          <w:sz w:val="24"/>
          <w:szCs w:val="24"/>
          <w:lang w:val="en-ZA"/>
        </w:rPr>
        <w:t xml:space="preserve"> capital and operational</w:t>
      </w:r>
      <w:r w:rsidR="00AD76AC" w:rsidRPr="00474226">
        <w:rPr>
          <w:rFonts w:ascii="Arial" w:eastAsia="Calibri" w:hAnsi="Arial" w:cs="Arial"/>
          <w:color w:val="000000" w:themeColor="text1"/>
          <w:sz w:val="24"/>
          <w:szCs w:val="24"/>
          <w:lang w:val="en-ZA"/>
        </w:rPr>
        <w:t xml:space="preserve"> Estimates will after approval by the Council in terms of section 22 of the Municipal Finance Management Act, be submitted to National Treasury and the Provincial Treasury, </w:t>
      </w:r>
      <w:r w:rsidR="00CB7013" w:rsidRPr="00474226">
        <w:rPr>
          <w:rFonts w:ascii="Arial" w:eastAsia="Calibri" w:hAnsi="Arial" w:cs="Arial"/>
          <w:color w:val="000000" w:themeColor="text1"/>
          <w:sz w:val="24"/>
          <w:szCs w:val="24"/>
          <w:lang w:val="en-ZA"/>
        </w:rPr>
        <w:t>together with</w:t>
      </w:r>
      <w:r w:rsidR="00AD76AC" w:rsidRPr="00474226">
        <w:rPr>
          <w:rFonts w:ascii="Arial" w:eastAsia="Calibri" w:hAnsi="Arial" w:cs="Arial"/>
          <w:color w:val="000000" w:themeColor="text1"/>
          <w:sz w:val="24"/>
          <w:szCs w:val="24"/>
          <w:lang w:val="en-ZA"/>
        </w:rPr>
        <w:t xml:space="preserve"> the quality certificate approved by the accounting officer.</w:t>
      </w:r>
    </w:p>
    <w:p w14:paraId="3F58EE26" w14:textId="77777777" w:rsidR="00AD76AC" w:rsidRPr="00474226" w:rsidRDefault="00AD76AC" w:rsidP="00C601CF">
      <w:pPr>
        <w:spacing w:before="240" w:after="200" w:line="240" w:lineRule="auto"/>
        <w:ind w:left="426" w:hanging="426"/>
        <w:contextualSpacing/>
        <w:jc w:val="both"/>
        <w:rPr>
          <w:rFonts w:ascii="Arial" w:eastAsia="Calibri" w:hAnsi="Arial" w:cs="Arial"/>
          <w:color w:val="000000" w:themeColor="text1"/>
          <w:sz w:val="24"/>
          <w:szCs w:val="24"/>
          <w:lang w:val="en-ZA"/>
        </w:rPr>
      </w:pPr>
    </w:p>
    <w:p w14:paraId="51B4F761" w14:textId="10DE2B38" w:rsidR="002B3E10" w:rsidRPr="00474226" w:rsidRDefault="00560F1F" w:rsidP="00C601CF">
      <w:pPr>
        <w:numPr>
          <w:ilvl w:val="0"/>
          <w:numId w:val="3"/>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That</w:t>
      </w:r>
      <w:r w:rsidR="002B3E10" w:rsidRPr="00474226">
        <w:rPr>
          <w:rFonts w:ascii="Arial" w:eastAsia="Calibri" w:hAnsi="Arial" w:cs="Arial"/>
          <w:color w:val="000000" w:themeColor="text1"/>
          <w:sz w:val="24"/>
          <w:szCs w:val="24"/>
          <w:lang w:val="en-ZA"/>
        </w:rPr>
        <w:t xml:space="preserve"> an amount of </w:t>
      </w:r>
      <w:r w:rsidR="001F71F3" w:rsidRPr="00474226">
        <w:rPr>
          <w:rFonts w:ascii="Arial" w:eastAsia="Calibri" w:hAnsi="Arial" w:cs="Arial"/>
          <w:color w:val="000000" w:themeColor="text1"/>
          <w:sz w:val="24"/>
          <w:szCs w:val="24"/>
          <w:lang w:val="en-ZA"/>
        </w:rPr>
        <w:t xml:space="preserve">R </w:t>
      </w:r>
      <w:r w:rsidR="00931EC9" w:rsidRPr="00474226">
        <w:rPr>
          <w:rFonts w:ascii="Arial" w:eastAsia="Calibri" w:hAnsi="Arial" w:cs="Arial"/>
          <w:color w:val="000000" w:themeColor="text1"/>
          <w:sz w:val="24"/>
          <w:szCs w:val="24"/>
          <w:lang w:val="en-ZA"/>
        </w:rPr>
        <w:t>13,592,048</w:t>
      </w:r>
      <w:r w:rsidR="007247DE" w:rsidRPr="00474226">
        <w:rPr>
          <w:rFonts w:ascii="Arial" w:eastAsia="Calibri" w:hAnsi="Arial" w:cs="Arial"/>
          <w:color w:val="000000" w:themeColor="text1"/>
          <w:sz w:val="24"/>
          <w:szCs w:val="24"/>
          <w:lang w:val="en-ZA"/>
        </w:rPr>
        <w:t xml:space="preserve"> </w:t>
      </w:r>
      <w:r w:rsidR="002B3E10" w:rsidRPr="00474226">
        <w:rPr>
          <w:rFonts w:ascii="Arial" w:eastAsia="Calibri" w:hAnsi="Arial" w:cs="Arial"/>
          <w:color w:val="000000" w:themeColor="text1"/>
          <w:sz w:val="24"/>
          <w:szCs w:val="24"/>
          <w:lang w:val="en-ZA"/>
        </w:rPr>
        <w:t xml:space="preserve">be allocated to GTEDA Municipal entity </w:t>
      </w:r>
    </w:p>
    <w:p w14:paraId="26831A55" w14:textId="77777777" w:rsidR="00413A90" w:rsidRPr="00474226" w:rsidRDefault="00413A90" w:rsidP="00C601CF">
      <w:pPr>
        <w:pStyle w:val="ListParagraph"/>
        <w:rPr>
          <w:rFonts w:ascii="Arial" w:eastAsia="Calibri" w:hAnsi="Arial" w:cs="Arial"/>
          <w:color w:val="000000" w:themeColor="text1"/>
          <w:sz w:val="24"/>
          <w:szCs w:val="24"/>
          <w:lang w:val="en-ZA"/>
        </w:rPr>
      </w:pPr>
    </w:p>
    <w:p w14:paraId="0E95FD68" w14:textId="629350E1" w:rsidR="00413A90" w:rsidRPr="00474226" w:rsidRDefault="00413A90" w:rsidP="00C601CF">
      <w:pPr>
        <w:numPr>
          <w:ilvl w:val="0"/>
          <w:numId w:val="3"/>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 xml:space="preserve">That the </w:t>
      </w:r>
      <w:r w:rsidR="009E154F" w:rsidRPr="00474226">
        <w:rPr>
          <w:rFonts w:ascii="Arial" w:eastAsia="Calibri" w:hAnsi="Arial" w:cs="Arial"/>
          <w:color w:val="000000" w:themeColor="text1"/>
          <w:sz w:val="24"/>
          <w:szCs w:val="24"/>
          <w:lang w:val="en-ZA"/>
        </w:rPr>
        <w:t xml:space="preserve">detailed </w:t>
      </w:r>
      <w:r w:rsidRPr="00474226">
        <w:rPr>
          <w:rFonts w:ascii="Arial" w:eastAsia="Calibri" w:hAnsi="Arial" w:cs="Arial"/>
          <w:color w:val="000000" w:themeColor="text1"/>
          <w:sz w:val="24"/>
          <w:szCs w:val="24"/>
          <w:lang w:val="en-ZA"/>
        </w:rPr>
        <w:t xml:space="preserve">budget resolutions </w:t>
      </w:r>
      <w:r w:rsidR="00E7758D" w:rsidRPr="00474226">
        <w:rPr>
          <w:rFonts w:ascii="Arial" w:eastAsia="Calibri" w:hAnsi="Arial" w:cs="Arial"/>
          <w:color w:val="000000" w:themeColor="text1"/>
          <w:sz w:val="24"/>
          <w:szCs w:val="24"/>
          <w:lang w:val="en-ZA"/>
        </w:rPr>
        <w:t xml:space="preserve">attached as per </w:t>
      </w:r>
      <w:r w:rsidR="00E7758D" w:rsidRPr="00474226">
        <w:rPr>
          <w:rFonts w:ascii="Arial" w:eastAsia="Calibri" w:hAnsi="Arial" w:cs="Arial"/>
          <w:i/>
          <w:iCs/>
          <w:color w:val="000000" w:themeColor="text1"/>
          <w:sz w:val="24"/>
          <w:szCs w:val="24"/>
          <w:lang w:val="en-ZA"/>
        </w:rPr>
        <w:t>“Annexure S”</w:t>
      </w:r>
      <w:r w:rsidR="00E7758D" w:rsidRPr="00474226">
        <w:rPr>
          <w:rFonts w:ascii="Arial" w:eastAsia="Calibri" w:hAnsi="Arial" w:cs="Arial"/>
          <w:color w:val="000000" w:themeColor="text1"/>
          <w:sz w:val="24"/>
          <w:szCs w:val="24"/>
          <w:lang w:val="en-ZA"/>
        </w:rPr>
        <w:t xml:space="preserve"> be approved</w:t>
      </w:r>
    </w:p>
    <w:p w14:paraId="54FD7AFD" w14:textId="77777777" w:rsidR="00EF0A04" w:rsidRPr="00474226" w:rsidRDefault="00EF0A04" w:rsidP="00EF0A04">
      <w:pPr>
        <w:pStyle w:val="ListParagraph"/>
        <w:rPr>
          <w:rFonts w:ascii="Arial" w:eastAsia="Calibri" w:hAnsi="Arial" w:cs="Arial"/>
          <w:color w:val="000000" w:themeColor="text1"/>
          <w:sz w:val="24"/>
          <w:szCs w:val="24"/>
          <w:lang w:val="en-ZA"/>
        </w:rPr>
      </w:pPr>
    </w:p>
    <w:p w14:paraId="00E7BAFF" w14:textId="0415C2C1" w:rsidR="00EF0A04" w:rsidRPr="00474226" w:rsidRDefault="00EF0A04" w:rsidP="00C601CF">
      <w:pPr>
        <w:numPr>
          <w:ilvl w:val="0"/>
          <w:numId w:val="3"/>
        </w:numPr>
        <w:spacing w:before="240" w:after="200" w:line="240" w:lineRule="auto"/>
        <w:ind w:left="426" w:hanging="426"/>
        <w:contextualSpacing/>
        <w:jc w:val="both"/>
        <w:rPr>
          <w:rFonts w:ascii="Arial" w:eastAsia="Calibri" w:hAnsi="Arial" w:cs="Arial"/>
          <w:color w:val="000000" w:themeColor="text1"/>
          <w:sz w:val="24"/>
          <w:szCs w:val="24"/>
          <w:lang w:val="en-ZA"/>
        </w:rPr>
      </w:pPr>
      <w:bookmarkStart w:id="4" w:name="_Hlk135209097"/>
      <w:r w:rsidRPr="00474226">
        <w:rPr>
          <w:rFonts w:ascii="Arial" w:eastAsia="Calibri" w:hAnsi="Arial" w:cs="Arial"/>
          <w:color w:val="000000" w:themeColor="text1"/>
          <w:sz w:val="24"/>
          <w:szCs w:val="24"/>
          <w:lang w:val="en-ZA"/>
        </w:rPr>
        <w:t>That the cost containment circular no 82 and 97 as issued by national treasury on the 30</w:t>
      </w:r>
      <w:r w:rsidRPr="00474226">
        <w:rPr>
          <w:rFonts w:ascii="Arial" w:eastAsia="Calibri" w:hAnsi="Arial" w:cs="Arial"/>
          <w:color w:val="000000" w:themeColor="text1"/>
          <w:sz w:val="24"/>
          <w:szCs w:val="24"/>
          <w:vertAlign w:val="superscript"/>
          <w:lang w:val="en-ZA"/>
        </w:rPr>
        <w:t>th</w:t>
      </w:r>
      <w:r w:rsidRPr="00474226">
        <w:rPr>
          <w:rFonts w:ascii="Arial" w:eastAsia="Calibri" w:hAnsi="Arial" w:cs="Arial"/>
          <w:color w:val="000000" w:themeColor="text1"/>
          <w:sz w:val="24"/>
          <w:szCs w:val="24"/>
          <w:lang w:val="en-ZA"/>
        </w:rPr>
        <w:t xml:space="preserve"> of March 2016 and 31 July 2019 continuously be enforced to reduce spending on non-priority items</w:t>
      </w:r>
    </w:p>
    <w:bookmarkEnd w:id="4"/>
    <w:p w14:paraId="2B27400C" w14:textId="77777777" w:rsidR="00413A90" w:rsidRPr="00474226" w:rsidRDefault="00413A90" w:rsidP="00C601CF">
      <w:pPr>
        <w:pStyle w:val="ListParagraph"/>
        <w:rPr>
          <w:rFonts w:ascii="Arial" w:eastAsia="Calibri" w:hAnsi="Arial" w:cs="Arial"/>
          <w:color w:val="000000" w:themeColor="text1"/>
          <w:sz w:val="24"/>
          <w:szCs w:val="24"/>
          <w:lang w:val="en-ZA"/>
        </w:rPr>
      </w:pPr>
    </w:p>
    <w:p w14:paraId="7A5D0E83"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 xml:space="preserve">COMMENTS FROM CORPORATE SERVICES </w:t>
      </w:r>
    </w:p>
    <w:p w14:paraId="5F02A6C8" w14:textId="77777777" w:rsidR="00AD76AC" w:rsidRPr="00474226" w:rsidRDefault="00AD76AC" w:rsidP="00C601CF">
      <w:pPr>
        <w:spacing w:after="0" w:line="240" w:lineRule="auto"/>
        <w:rPr>
          <w:rFonts w:ascii="Arial" w:eastAsia="Times New Roman" w:hAnsi="Arial" w:cs="Arial"/>
          <w:b/>
          <w:color w:val="000000" w:themeColor="text1"/>
          <w:sz w:val="24"/>
          <w:szCs w:val="24"/>
          <w:u w:val="single"/>
          <w:lang w:val="en-US"/>
        </w:rPr>
      </w:pPr>
    </w:p>
    <w:p w14:paraId="03C535C7"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COMMENTS FROM ENGINEERING SERVICES</w:t>
      </w:r>
    </w:p>
    <w:p w14:paraId="3FACD515" w14:textId="77777777" w:rsidR="00AD76AC" w:rsidRPr="00474226" w:rsidRDefault="00AD76AC" w:rsidP="00C601CF">
      <w:pPr>
        <w:spacing w:after="0" w:line="240" w:lineRule="auto"/>
        <w:rPr>
          <w:rFonts w:ascii="Arial" w:eastAsia="Times New Roman" w:hAnsi="Arial" w:cs="Arial"/>
          <w:b/>
          <w:color w:val="000000" w:themeColor="text1"/>
          <w:sz w:val="24"/>
          <w:szCs w:val="24"/>
          <w:u w:val="single"/>
          <w:lang w:val="en-US"/>
        </w:rPr>
      </w:pPr>
    </w:p>
    <w:p w14:paraId="64774C89"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 xml:space="preserve">COMMENTS FROM ELECTRICAL ENGINEERING </w:t>
      </w:r>
    </w:p>
    <w:p w14:paraId="4FC00FAA" w14:textId="77777777" w:rsidR="00AD76AC" w:rsidRPr="00474226" w:rsidRDefault="00AD76AC" w:rsidP="00C601CF">
      <w:pPr>
        <w:spacing w:after="0" w:line="240" w:lineRule="auto"/>
        <w:rPr>
          <w:rFonts w:ascii="Arial" w:eastAsia="Times New Roman" w:hAnsi="Arial" w:cs="Arial"/>
          <w:color w:val="000000" w:themeColor="text1"/>
          <w:sz w:val="24"/>
          <w:szCs w:val="24"/>
          <w:lang w:val="en-US"/>
        </w:rPr>
      </w:pPr>
    </w:p>
    <w:p w14:paraId="1625DC2E"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COMMENTS FROM PED</w:t>
      </w:r>
    </w:p>
    <w:p w14:paraId="457C8802" w14:textId="77777777" w:rsidR="00AD76AC" w:rsidRPr="00474226" w:rsidRDefault="00AD76AC" w:rsidP="00C601CF">
      <w:pPr>
        <w:spacing w:after="0" w:line="240" w:lineRule="auto"/>
        <w:rPr>
          <w:rFonts w:ascii="Arial" w:eastAsia="Times New Roman" w:hAnsi="Arial" w:cs="Arial"/>
          <w:b/>
          <w:color w:val="000000" w:themeColor="text1"/>
          <w:sz w:val="24"/>
          <w:szCs w:val="24"/>
          <w:u w:val="single"/>
          <w:lang w:val="en-US"/>
        </w:rPr>
      </w:pPr>
    </w:p>
    <w:p w14:paraId="557A9083"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COMMENTS FROM COMMUNITY SERVICES</w:t>
      </w:r>
    </w:p>
    <w:p w14:paraId="5A06DEFC"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COMMENTS FROM THE CFO</w:t>
      </w:r>
    </w:p>
    <w:p w14:paraId="54A54AE1" w14:textId="77777777" w:rsidR="00AD76AC" w:rsidRPr="00474226" w:rsidRDefault="00AD76AC" w:rsidP="00C601CF">
      <w:pPr>
        <w:keepNext/>
        <w:spacing w:before="240" w:after="60" w:line="240" w:lineRule="auto"/>
        <w:outlineLvl w:val="2"/>
        <w:rPr>
          <w:rFonts w:ascii="Arial" w:eastAsia="Times New Roman" w:hAnsi="Arial" w:cs="Arial"/>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COMMENTS FROM THE MUNICIPAL MANAGER</w:t>
      </w:r>
    </w:p>
    <w:p w14:paraId="643671B4" w14:textId="77777777" w:rsidR="00AD76AC" w:rsidRPr="00474226" w:rsidRDefault="00AD76AC" w:rsidP="00C601CF">
      <w:pPr>
        <w:spacing w:after="0" w:line="240" w:lineRule="auto"/>
        <w:rPr>
          <w:rFonts w:ascii="Arial" w:eastAsia="Times New Roman" w:hAnsi="Arial" w:cs="Arial"/>
          <w:b/>
          <w:color w:val="000000" w:themeColor="text1"/>
          <w:sz w:val="24"/>
          <w:szCs w:val="24"/>
          <w:lang w:val="en-US"/>
        </w:rPr>
      </w:pPr>
    </w:p>
    <w:p w14:paraId="17B4E9AC" w14:textId="77777777" w:rsidR="00AD76AC" w:rsidRPr="00474226" w:rsidRDefault="00AD76AC" w:rsidP="00C601CF">
      <w:pPr>
        <w:keepNext/>
        <w:spacing w:before="240" w:after="60" w:line="240" w:lineRule="auto"/>
        <w:ind w:left="90"/>
        <w:outlineLvl w:val="2"/>
        <w:rPr>
          <w:rFonts w:ascii="Arial" w:eastAsia="Times New Roman" w:hAnsi="Arial" w:cs="Arial"/>
          <w:b/>
          <w:bCs/>
          <w:caps/>
          <w:color w:val="000000" w:themeColor="text1"/>
          <w:sz w:val="24"/>
          <w:szCs w:val="24"/>
          <w:u w:val="single"/>
          <w:lang w:val="en-US"/>
        </w:rPr>
      </w:pPr>
      <w:r w:rsidRPr="00474226">
        <w:rPr>
          <w:rFonts w:ascii="Arial" w:eastAsia="Times New Roman" w:hAnsi="Arial" w:cs="Arial"/>
          <w:b/>
          <w:bCs/>
          <w:caps/>
          <w:color w:val="000000" w:themeColor="text1"/>
          <w:sz w:val="24"/>
          <w:szCs w:val="24"/>
          <w:u w:val="single"/>
          <w:lang w:val="en-US"/>
        </w:rPr>
        <w:t>resolved to recommend</w:t>
      </w:r>
    </w:p>
    <w:p w14:paraId="1B5B4FB7" w14:textId="77777777" w:rsidR="00D36074" w:rsidRPr="00474226" w:rsidRDefault="00D36074" w:rsidP="00D36074">
      <w:pPr>
        <w:spacing w:after="0" w:line="480" w:lineRule="auto"/>
        <w:ind w:left="426" w:hanging="426"/>
        <w:jc w:val="both"/>
        <w:rPr>
          <w:rFonts w:ascii="Arial" w:eastAsia="Times New Roman" w:hAnsi="Arial" w:cs="Arial"/>
          <w:b/>
          <w:color w:val="000000" w:themeColor="text1"/>
          <w:sz w:val="24"/>
          <w:szCs w:val="24"/>
          <w:lang w:val="en-US"/>
        </w:rPr>
      </w:pPr>
    </w:p>
    <w:p w14:paraId="190DD14F" w14:textId="4385584C" w:rsidR="00D36074" w:rsidRPr="00474226" w:rsidRDefault="00D36074" w:rsidP="00F24333">
      <w:pPr>
        <w:numPr>
          <w:ilvl w:val="0"/>
          <w:numId w:val="17"/>
        </w:numPr>
        <w:spacing w:after="200" w:line="240" w:lineRule="auto"/>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That the Capital and Operational Estimates for the 2024/2025 financial year as fully recorded in the report in this regard be approved and that the Accounting Officer proceeds with the publication of the Annual Budget as outlined in section 22 of the Municipal Finance Management Act 56 of 2003.</w:t>
      </w:r>
    </w:p>
    <w:p w14:paraId="42239585" w14:textId="77777777" w:rsidR="00D36074" w:rsidRPr="00474226" w:rsidRDefault="00D36074" w:rsidP="00F24333">
      <w:pPr>
        <w:spacing w:after="200" w:line="240" w:lineRule="auto"/>
        <w:ind w:left="426" w:hanging="426"/>
        <w:contextualSpacing/>
        <w:jc w:val="both"/>
        <w:rPr>
          <w:rFonts w:ascii="Arial" w:eastAsia="Calibri" w:hAnsi="Arial" w:cs="Arial"/>
          <w:color w:val="000000" w:themeColor="text1"/>
          <w:sz w:val="24"/>
          <w:szCs w:val="24"/>
          <w:lang w:val="en-ZA"/>
        </w:rPr>
      </w:pPr>
    </w:p>
    <w:p w14:paraId="6A2BF6A4" w14:textId="77777777" w:rsidR="00D36074" w:rsidRPr="00474226" w:rsidRDefault="00D36074" w:rsidP="00F24333">
      <w:pPr>
        <w:numPr>
          <w:ilvl w:val="0"/>
          <w:numId w:val="17"/>
        </w:numPr>
        <w:spacing w:before="240" w:after="200" w:line="240" w:lineRule="auto"/>
        <w:ind w:left="426" w:hanging="426"/>
        <w:contextualSpacing/>
        <w:jc w:val="both"/>
        <w:rPr>
          <w:rFonts w:ascii="Arial" w:eastAsia="Calibri" w:hAnsi="Arial" w:cs="Arial"/>
          <w:b/>
          <w:color w:val="000000" w:themeColor="text1"/>
          <w:sz w:val="24"/>
          <w:szCs w:val="24"/>
          <w:lang w:val="en-ZA"/>
        </w:rPr>
      </w:pPr>
      <w:r w:rsidRPr="00474226">
        <w:rPr>
          <w:rFonts w:ascii="Arial" w:eastAsia="Calibri" w:hAnsi="Arial" w:cs="Arial"/>
          <w:color w:val="000000" w:themeColor="text1"/>
          <w:sz w:val="24"/>
          <w:szCs w:val="24"/>
          <w:lang w:val="en-ZA"/>
        </w:rPr>
        <w:t xml:space="preserve">That the 2024/2025 financial year budget related policies be approved as more fully set out in </w:t>
      </w:r>
      <w:r w:rsidRPr="00474226">
        <w:rPr>
          <w:rFonts w:ascii="Arial" w:eastAsia="Calibri" w:hAnsi="Arial" w:cs="Arial"/>
          <w:b/>
          <w:color w:val="000000" w:themeColor="text1"/>
          <w:sz w:val="24"/>
          <w:szCs w:val="24"/>
          <w:lang w:val="en-ZA"/>
        </w:rPr>
        <w:t xml:space="preserve">Part 2 of supporting documents in the budget </w:t>
      </w:r>
    </w:p>
    <w:p w14:paraId="33A1DDED" w14:textId="77777777" w:rsidR="00D36074" w:rsidRPr="00474226" w:rsidRDefault="00D36074" w:rsidP="00F24333">
      <w:pPr>
        <w:spacing w:after="200" w:line="276" w:lineRule="auto"/>
        <w:ind w:left="426" w:hanging="426"/>
        <w:contextualSpacing/>
        <w:rPr>
          <w:rFonts w:ascii="Arial" w:eastAsia="Calibri" w:hAnsi="Arial" w:cs="Arial"/>
          <w:color w:val="000000" w:themeColor="text1"/>
          <w:sz w:val="24"/>
          <w:szCs w:val="24"/>
          <w:lang w:val="en-ZA"/>
        </w:rPr>
      </w:pPr>
    </w:p>
    <w:p w14:paraId="63CB9999" w14:textId="77777777" w:rsidR="00D36074" w:rsidRPr="00474226" w:rsidRDefault="00D36074" w:rsidP="00F24333">
      <w:pPr>
        <w:spacing w:before="240" w:after="200" w:line="240" w:lineRule="auto"/>
        <w:ind w:left="426" w:hanging="426"/>
        <w:contextualSpacing/>
        <w:jc w:val="both"/>
        <w:rPr>
          <w:rFonts w:ascii="Arial" w:eastAsia="Calibri" w:hAnsi="Arial" w:cs="Arial"/>
          <w:color w:val="000000" w:themeColor="text1"/>
          <w:sz w:val="24"/>
          <w:szCs w:val="24"/>
          <w:lang w:val="en-ZA"/>
        </w:rPr>
      </w:pPr>
    </w:p>
    <w:p w14:paraId="14D06DE2" w14:textId="361158FC" w:rsidR="00D36074" w:rsidRPr="00474226" w:rsidRDefault="00D36074" w:rsidP="00877B5C">
      <w:pPr>
        <w:pStyle w:val="ListParagraph"/>
        <w:numPr>
          <w:ilvl w:val="0"/>
          <w:numId w:val="17"/>
        </w:numPr>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 xml:space="preserve">That the </w:t>
      </w:r>
      <w:r w:rsidR="003D20AE" w:rsidRPr="00474226">
        <w:rPr>
          <w:rFonts w:ascii="Arial" w:eastAsia="Calibri" w:hAnsi="Arial" w:cs="Arial"/>
          <w:color w:val="000000" w:themeColor="text1"/>
          <w:sz w:val="24"/>
          <w:szCs w:val="24"/>
          <w:lang w:val="en-ZA"/>
        </w:rPr>
        <w:t xml:space="preserve">draft </w:t>
      </w:r>
      <w:r w:rsidRPr="00474226">
        <w:rPr>
          <w:rFonts w:ascii="Arial" w:eastAsia="Calibri" w:hAnsi="Arial" w:cs="Arial"/>
          <w:color w:val="000000" w:themeColor="text1"/>
          <w:sz w:val="24"/>
          <w:szCs w:val="24"/>
          <w:lang w:val="en-ZA"/>
        </w:rPr>
        <w:t>2024/2025 tariff listing for municipal services as more fully set out in part 1 of supporting budget documents be approved</w:t>
      </w:r>
      <w:r w:rsidR="00474226" w:rsidRPr="00474226">
        <w:rPr>
          <w:rFonts w:ascii="Arial" w:eastAsia="Calibri" w:hAnsi="Arial" w:cs="Arial"/>
          <w:color w:val="000000" w:themeColor="text1"/>
          <w:sz w:val="24"/>
          <w:szCs w:val="24"/>
          <w:lang w:val="en-ZA"/>
        </w:rPr>
        <w:t xml:space="preserve"> and that the </w:t>
      </w:r>
      <w:r w:rsidR="00877B5C" w:rsidRPr="00474226">
        <w:rPr>
          <w:rFonts w:ascii="Arial" w:eastAsia="Calibri" w:hAnsi="Arial" w:cs="Arial"/>
          <w:color w:val="000000" w:themeColor="text1"/>
          <w:sz w:val="24"/>
          <w:szCs w:val="24"/>
          <w:lang w:val="en-ZA"/>
        </w:rPr>
        <w:t>municipality will adopt  0% increase in Property Rates tariff due to the implementation of the new General Valuation Roll from 1 July 2024.</w:t>
      </w:r>
    </w:p>
    <w:p w14:paraId="1B142EC7" w14:textId="77777777" w:rsidR="00D36074" w:rsidRPr="00474226" w:rsidRDefault="00D36074" w:rsidP="00F24333">
      <w:pPr>
        <w:spacing w:after="200" w:line="240" w:lineRule="auto"/>
        <w:ind w:left="426" w:hanging="426"/>
        <w:contextualSpacing/>
        <w:jc w:val="both"/>
        <w:rPr>
          <w:rFonts w:ascii="Arial" w:eastAsia="Calibri" w:hAnsi="Arial" w:cs="Arial"/>
          <w:b/>
          <w:color w:val="000000" w:themeColor="text1"/>
          <w:sz w:val="24"/>
          <w:szCs w:val="24"/>
          <w:lang w:val="en-ZA"/>
        </w:rPr>
      </w:pPr>
    </w:p>
    <w:p w14:paraId="70533A31" w14:textId="45A0CA4E" w:rsidR="00D36074" w:rsidRPr="00474226" w:rsidRDefault="00D36074" w:rsidP="00F24333">
      <w:pPr>
        <w:numPr>
          <w:ilvl w:val="0"/>
          <w:numId w:val="17"/>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 xml:space="preserve">That it be noted that the </w:t>
      </w:r>
      <w:r w:rsidR="003D20AE" w:rsidRPr="00474226">
        <w:rPr>
          <w:rFonts w:ascii="Arial" w:eastAsia="Calibri" w:hAnsi="Arial" w:cs="Arial"/>
          <w:color w:val="000000" w:themeColor="text1"/>
          <w:sz w:val="24"/>
          <w:szCs w:val="24"/>
          <w:lang w:val="en-ZA"/>
        </w:rPr>
        <w:t>draft</w:t>
      </w:r>
      <w:r w:rsidRPr="00474226">
        <w:rPr>
          <w:rFonts w:ascii="Arial" w:eastAsia="Calibri" w:hAnsi="Arial" w:cs="Arial"/>
          <w:color w:val="000000" w:themeColor="text1"/>
          <w:sz w:val="24"/>
          <w:szCs w:val="24"/>
          <w:lang w:val="en-ZA"/>
        </w:rPr>
        <w:t xml:space="preserve"> 2024/2025 capital and operational Estimates will after approval by the Council in terms of section 22 of the Municipal Finance Management Act, be submitted to National Treasury and the Provincial Treasury, together with the quality certificate approved by the accounting officer.</w:t>
      </w:r>
    </w:p>
    <w:p w14:paraId="43EC68F4" w14:textId="77777777" w:rsidR="00D36074" w:rsidRPr="00474226" w:rsidRDefault="00D36074" w:rsidP="00F24333">
      <w:pPr>
        <w:spacing w:before="240" w:after="200" w:line="240" w:lineRule="auto"/>
        <w:ind w:left="426" w:hanging="426"/>
        <w:contextualSpacing/>
        <w:jc w:val="both"/>
        <w:rPr>
          <w:rFonts w:ascii="Arial" w:eastAsia="Calibri" w:hAnsi="Arial" w:cs="Arial"/>
          <w:color w:val="000000" w:themeColor="text1"/>
          <w:sz w:val="24"/>
          <w:szCs w:val="24"/>
          <w:lang w:val="en-ZA"/>
        </w:rPr>
      </w:pPr>
    </w:p>
    <w:p w14:paraId="5F833BEB" w14:textId="77777777" w:rsidR="00D36074" w:rsidRPr="00474226" w:rsidRDefault="00D36074" w:rsidP="00F24333">
      <w:pPr>
        <w:numPr>
          <w:ilvl w:val="0"/>
          <w:numId w:val="17"/>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 xml:space="preserve">That an amount of R 13,592,048 be allocated to GTEDA Municipal entity </w:t>
      </w:r>
    </w:p>
    <w:p w14:paraId="489E9A0F" w14:textId="77777777" w:rsidR="00D36074" w:rsidRPr="00474226" w:rsidRDefault="00D36074" w:rsidP="00F24333">
      <w:pPr>
        <w:pStyle w:val="ListParagraph"/>
        <w:rPr>
          <w:rFonts w:ascii="Arial" w:eastAsia="Calibri" w:hAnsi="Arial" w:cs="Arial"/>
          <w:color w:val="000000" w:themeColor="text1"/>
          <w:sz w:val="24"/>
          <w:szCs w:val="24"/>
          <w:lang w:val="en-ZA"/>
        </w:rPr>
      </w:pPr>
    </w:p>
    <w:p w14:paraId="07891CAD" w14:textId="452C370A" w:rsidR="00D36074" w:rsidRPr="00474226" w:rsidRDefault="00D36074" w:rsidP="00F24333">
      <w:pPr>
        <w:numPr>
          <w:ilvl w:val="0"/>
          <w:numId w:val="17"/>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 xml:space="preserve">That the detailed budget resolutions </w:t>
      </w:r>
      <w:r w:rsidR="00B758E9" w:rsidRPr="00474226">
        <w:rPr>
          <w:rFonts w:ascii="Arial" w:eastAsia="Calibri" w:hAnsi="Arial" w:cs="Arial"/>
          <w:color w:val="000000" w:themeColor="text1"/>
          <w:sz w:val="24"/>
          <w:szCs w:val="24"/>
          <w:lang w:val="en-ZA"/>
        </w:rPr>
        <w:t>attached</w:t>
      </w:r>
      <w:r w:rsidRPr="00474226">
        <w:rPr>
          <w:rFonts w:ascii="Arial" w:eastAsia="Calibri" w:hAnsi="Arial" w:cs="Arial"/>
          <w:color w:val="000000" w:themeColor="text1"/>
          <w:sz w:val="24"/>
          <w:szCs w:val="24"/>
          <w:lang w:val="en-ZA"/>
        </w:rPr>
        <w:t xml:space="preserve"> </w:t>
      </w:r>
      <w:r w:rsidR="009C60EF" w:rsidRPr="00474226">
        <w:rPr>
          <w:rFonts w:ascii="Arial" w:eastAsia="Calibri" w:hAnsi="Arial" w:cs="Arial"/>
          <w:color w:val="000000" w:themeColor="text1"/>
          <w:sz w:val="24"/>
          <w:szCs w:val="24"/>
          <w:lang w:val="en-ZA"/>
        </w:rPr>
        <w:t xml:space="preserve">as per </w:t>
      </w:r>
      <w:r w:rsidR="00E7758D" w:rsidRPr="00474226">
        <w:rPr>
          <w:rFonts w:ascii="Arial" w:eastAsia="Calibri" w:hAnsi="Arial" w:cs="Arial"/>
          <w:i/>
          <w:iCs/>
          <w:color w:val="000000" w:themeColor="text1"/>
          <w:sz w:val="24"/>
          <w:szCs w:val="24"/>
          <w:lang w:val="en-ZA"/>
        </w:rPr>
        <w:t>“A</w:t>
      </w:r>
      <w:r w:rsidR="00B758E9" w:rsidRPr="00474226">
        <w:rPr>
          <w:rFonts w:ascii="Arial" w:eastAsia="Calibri" w:hAnsi="Arial" w:cs="Arial"/>
          <w:i/>
          <w:iCs/>
          <w:color w:val="000000" w:themeColor="text1"/>
          <w:sz w:val="24"/>
          <w:szCs w:val="24"/>
          <w:lang w:val="en-ZA"/>
        </w:rPr>
        <w:t xml:space="preserve">nnexure </w:t>
      </w:r>
      <w:r w:rsidR="00E7758D" w:rsidRPr="00474226">
        <w:rPr>
          <w:rFonts w:ascii="Arial" w:eastAsia="Calibri" w:hAnsi="Arial" w:cs="Arial"/>
          <w:i/>
          <w:iCs/>
          <w:color w:val="000000" w:themeColor="text1"/>
          <w:sz w:val="24"/>
          <w:szCs w:val="24"/>
          <w:lang w:val="en-ZA"/>
        </w:rPr>
        <w:t>S”</w:t>
      </w:r>
      <w:r w:rsidR="00B758E9" w:rsidRPr="00474226">
        <w:rPr>
          <w:rFonts w:ascii="Arial" w:eastAsia="Calibri" w:hAnsi="Arial" w:cs="Arial"/>
          <w:color w:val="000000" w:themeColor="text1"/>
          <w:sz w:val="24"/>
          <w:szCs w:val="24"/>
          <w:lang w:val="en-ZA"/>
        </w:rPr>
        <w:t xml:space="preserve"> </w:t>
      </w:r>
      <w:r w:rsidRPr="00474226">
        <w:rPr>
          <w:rFonts w:ascii="Arial" w:eastAsia="Calibri" w:hAnsi="Arial" w:cs="Arial"/>
          <w:color w:val="000000" w:themeColor="text1"/>
          <w:sz w:val="24"/>
          <w:szCs w:val="24"/>
          <w:lang w:val="en-ZA"/>
        </w:rPr>
        <w:t>be approved</w:t>
      </w:r>
    </w:p>
    <w:p w14:paraId="321DC98D" w14:textId="77777777" w:rsidR="00D36074" w:rsidRPr="00474226" w:rsidRDefault="00D36074" w:rsidP="00F24333">
      <w:pPr>
        <w:pStyle w:val="ListParagraph"/>
        <w:rPr>
          <w:rFonts w:ascii="Arial" w:eastAsia="Calibri" w:hAnsi="Arial" w:cs="Arial"/>
          <w:color w:val="000000" w:themeColor="text1"/>
          <w:sz w:val="24"/>
          <w:szCs w:val="24"/>
          <w:lang w:val="en-ZA"/>
        </w:rPr>
      </w:pPr>
    </w:p>
    <w:p w14:paraId="3BCA029C" w14:textId="77777777" w:rsidR="00D36074" w:rsidRPr="00474226" w:rsidRDefault="00D36074" w:rsidP="00F24333">
      <w:pPr>
        <w:numPr>
          <w:ilvl w:val="0"/>
          <w:numId w:val="17"/>
        </w:numPr>
        <w:spacing w:before="240" w:after="200" w:line="240" w:lineRule="auto"/>
        <w:ind w:left="426" w:hanging="426"/>
        <w:contextualSpacing/>
        <w:jc w:val="both"/>
        <w:rPr>
          <w:rFonts w:ascii="Arial" w:eastAsia="Calibri" w:hAnsi="Arial" w:cs="Arial"/>
          <w:color w:val="000000" w:themeColor="text1"/>
          <w:sz w:val="24"/>
          <w:szCs w:val="24"/>
          <w:lang w:val="en-ZA"/>
        </w:rPr>
      </w:pPr>
      <w:r w:rsidRPr="00474226">
        <w:rPr>
          <w:rFonts w:ascii="Arial" w:eastAsia="Calibri" w:hAnsi="Arial" w:cs="Arial"/>
          <w:color w:val="000000" w:themeColor="text1"/>
          <w:sz w:val="24"/>
          <w:szCs w:val="24"/>
          <w:lang w:val="en-ZA"/>
        </w:rPr>
        <w:t>That the cost containment circular no 82 and 97 as issued by national treasury on the 30</w:t>
      </w:r>
      <w:r w:rsidRPr="00474226">
        <w:rPr>
          <w:rFonts w:ascii="Arial" w:eastAsia="Calibri" w:hAnsi="Arial" w:cs="Arial"/>
          <w:color w:val="000000" w:themeColor="text1"/>
          <w:sz w:val="24"/>
          <w:szCs w:val="24"/>
          <w:vertAlign w:val="superscript"/>
          <w:lang w:val="en-ZA"/>
        </w:rPr>
        <w:t>th</w:t>
      </w:r>
      <w:r w:rsidRPr="00474226">
        <w:rPr>
          <w:rFonts w:ascii="Arial" w:eastAsia="Calibri" w:hAnsi="Arial" w:cs="Arial"/>
          <w:color w:val="000000" w:themeColor="text1"/>
          <w:sz w:val="24"/>
          <w:szCs w:val="24"/>
          <w:lang w:val="en-ZA"/>
        </w:rPr>
        <w:t xml:space="preserve"> of March 2016 and 31 July 2019 continuously be enforced to reduce spending on non-priority items</w:t>
      </w:r>
    </w:p>
    <w:p w14:paraId="4FD2F316" w14:textId="77777777" w:rsidR="00D36074" w:rsidRPr="00474226" w:rsidRDefault="00D36074" w:rsidP="00D36074">
      <w:pPr>
        <w:pStyle w:val="ListParagraph"/>
        <w:rPr>
          <w:rFonts w:ascii="Arial" w:eastAsia="Calibri" w:hAnsi="Arial" w:cs="Arial"/>
          <w:color w:val="000000" w:themeColor="text1"/>
          <w:sz w:val="24"/>
          <w:szCs w:val="24"/>
          <w:lang w:val="en-ZA"/>
        </w:rPr>
      </w:pPr>
    </w:p>
    <w:p w14:paraId="6AC479B7" w14:textId="77777777" w:rsidR="00D36074" w:rsidRPr="00CC00EA" w:rsidRDefault="00D36074" w:rsidP="00D36074">
      <w:pPr>
        <w:rPr>
          <w:rFonts w:ascii="Arial" w:eastAsia="Calibri" w:hAnsi="Arial" w:cs="Arial"/>
          <w:sz w:val="24"/>
          <w:szCs w:val="24"/>
          <w:lang w:val="en-ZA"/>
        </w:rPr>
      </w:pPr>
    </w:p>
    <w:p w14:paraId="46C4B299" w14:textId="537A31B7" w:rsidR="00DB47A5" w:rsidRPr="00C601CF" w:rsidRDefault="00AD76AC" w:rsidP="00D85A23">
      <w:pPr>
        <w:keepNext/>
        <w:spacing w:before="240" w:after="60" w:line="240" w:lineRule="auto"/>
        <w:outlineLvl w:val="2"/>
      </w:pPr>
      <w:r w:rsidRPr="00CC00EA">
        <w:rPr>
          <w:rFonts w:ascii="Arial" w:eastAsia="Times New Roman" w:hAnsi="Arial" w:cs="Arial"/>
          <w:b/>
          <w:bCs/>
          <w:caps/>
          <w:sz w:val="24"/>
          <w:szCs w:val="24"/>
          <w:lang w:val="en-US"/>
        </w:rPr>
        <w:t>for consideration</w:t>
      </w:r>
      <w:r w:rsidRPr="00C601CF">
        <w:rPr>
          <w:rFonts w:ascii="Arial" w:eastAsia="Times New Roman" w:hAnsi="Arial" w:cs="Arial"/>
          <w:b/>
          <w:bCs/>
          <w:caps/>
          <w:sz w:val="24"/>
          <w:szCs w:val="24"/>
          <w:lang w:val="en-US"/>
        </w:rPr>
        <w:t xml:space="preserve"> </w:t>
      </w:r>
    </w:p>
    <w:sectPr w:rsidR="00DB47A5" w:rsidRPr="00C60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A81"/>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64608B"/>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AC4FC1"/>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6A01B42"/>
    <w:multiLevelType w:val="hybridMultilevel"/>
    <w:tmpl w:val="854AFC08"/>
    <w:lvl w:ilvl="0" w:tplc="FFFFFFFF">
      <w:start w:val="1"/>
      <w:numFmt w:val="decimal"/>
      <w:lvlText w:val="%1."/>
      <w:lvlJc w:val="left"/>
      <w:pPr>
        <w:ind w:left="450" w:hanging="360"/>
      </w:pPr>
      <w:rPr>
        <w:rFonts w:hint="default"/>
        <w:b w:val="0"/>
      </w:rPr>
    </w:lvl>
    <w:lvl w:ilvl="1" w:tplc="FFFFFFFF" w:tentative="1">
      <w:start w:val="1"/>
      <w:numFmt w:val="lowerLetter"/>
      <w:lvlText w:val="%2."/>
      <w:lvlJc w:val="left"/>
      <w:pPr>
        <w:ind w:left="1246" w:hanging="360"/>
      </w:pPr>
    </w:lvl>
    <w:lvl w:ilvl="2" w:tplc="FFFFFFFF" w:tentative="1">
      <w:start w:val="1"/>
      <w:numFmt w:val="lowerRoman"/>
      <w:lvlText w:val="%3."/>
      <w:lvlJc w:val="right"/>
      <w:pPr>
        <w:ind w:left="1966" w:hanging="180"/>
      </w:pPr>
    </w:lvl>
    <w:lvl w:ilvl="3" w:tplc="FFFFFFFF" w:tentative="1">
      <w:start w:val="1"/>
      <w:numFmt w:val="decimal"/>
      <w:lvlText w:val="%4."/>
      <w:lvlJc w:val="left"/>
      <w:pPr>
        <w:ind w:left="2686" w:hanging="360"/>
      </w:pPr>
    </w:lvl>
    <w:lvl w:ilvl="4" w:tplc="FFFFFFFF" w:tentative="1">
      <w:start w:val="1"/>
      <w:numFmt w:val="lowerLetter"/>
      <w:lvlText w:val="%5."/>
      <w:lvlJc w:val="left"/>
      <w:pPr>
        <w:ind w:left="3406" w:hanging="360"/>
      </w:pPr>
    </w:lvl>
    <w:lvl w:ilvl="5" w:tplc="FFFFFFFF" w:tentative="1">
      <w:start w:val="1"/>
      <w:numFmt w:val="lowerRoman"/>
      <w:lvlText w:val="%6."/>
      <w:lvlJc w:val="right"/>
      <w:pPr>
        <w:ind w:left="4126" w:hanging="180"/>
      </w:pPr>
    </w:lvl>
    <w:lvl w:ilvl="6" w:tplc="FFFFFFFF" w:tentative="1">
      <w:start w:val="1"/>
      <w:numFmt w:val="decimal"/>
      <w:lvlText w:val="%7."/>
      <w:lvlJc w:val="left"/>
      <w:pPr>
        <w:ind w:left="4846" w:hanging="360"/>
      </w:pPr>
    </w:lvl>
    <w:lvl w:ilvl="7" w:tplc="FFFFFFFF" w:tentative="1">
      <w:start w:val="1"/>
      <w:numFmt w:val="lowerLetter"/>
      <w:lvlText w:val="%8."/>
      <w:lvlJc w:val="left"/>
      <w:pPr>
        <w:ind w:left="5566" w:hanging="360"/>
      </w:pPr>
    </w:lvl>
    <w:lvl w:ilvl="8" w:tplc="FFFFFFFF" w:tentative="1">
      <w:start w:val="1"/>
      <w:numFmt w:val="lowerRoman"/>
      <w:lvlText w:val="%9."/>
      <w:lvlJc w:val="right"/>
      <w:pPr>
        <w:ind w:left="6286" w:hanging="180"/>
      </w:pPr>
    </w:lvl>
  </w:abstractNum>
  <w:abstractNum w:abstractNumId="4" w15:restartNumberingAfterBreak="0">
    <w:nsid w:val="1B28029A"/>
    <w:multiLevelType w:val="hybridMultilevel"/>
    <w:tmpl w:val="E9D8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C3BED"/>
    <w:multiLevelType w:val="hybridMultilevel"/>
    <w:tmpl w:val="1ED2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C16B4"/>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EFA6E94"/>
    <w:multiLevelType w:val="hybridMultilevel"/>
    <w:tmpl w:val="054A34E4"/>
    <w:lvl w:ilvl="0" w:tplc="BE229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70F02"/>
    <w:multiLevelType w:val="hybridMultilevel"/>
    <w:tmpl w:val="E7B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07DC"/>
    <w:multiLevelType w:val="hybridMultilevel"/>
    <w:tmpl w:val="854AFC08"/>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D12DC8"/>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AF0C37"/>
    <w:multiLevelType w:val="hybridMultilevel"/>
    <w:tmpl w:val="8FB6C906"/>
    <w:lvl w:ilvl="0" w:tplc="1C090001">
      <w:start w:val="1"/>
      <w:numFmt w:val="bullet"/>
      <w:lvlText w:val=""/>
      <w:lvlJc w:val="left"/>
      <w:pPr>
        <w:ind w:left="5115" w:hanging="360"/>
      </w:pPr>
      <w:rPr>
        <w:rFonts w:ascii="Symbol" w:hAnsi="Symbol" w:hint="default"/>
      </w:rPr>
    </w:lvl>
    <w:lvl w:ilvl="1" w:tplc="1C090003" w:tentative="1">
      <w:start w:val="1"/>
      <w:numFmt w:val="bullet"/>
      <w:lvlText w:val="o"/>
      <w:lvlJc w:val="left"/>
      <w:pPr>
        <w:ind w:left="5835" w:hanging="360"/>
      </w:pPr>
      <w:rPr>
        <w:rFonts w:ascii="Courier New" w:hAnsi="Courier New" w:cs="Courier New" w:hint="default"/>
      </w:rPr>
    </w:lvl>
    <w:lvl w:ilvl="2" w:tplc="1C090005" w:tentative="1">
      <w:start w:val="1"/>
      <w:numFmt w:val="bullet"/>
      <w:lvlText w:val=""/>
      <w:lvlJc w:val="left"/>
      <w:pPr>
        <w:ind w:left="6555" w:hanging="360"/>
      </w:pPr>
      <w:rPr>
        <w:rFonts w:ascii="Wingdings" w:hAnsi="Wingdings" w:hint="default"/>
      </w:rPr>
    </w:lvl>
    <w:lvl w:ilvl="3" w:tplc="1C090001" w:tentative="1">
      <w:start w:val="1"/>
      <w:numFmt w:val="bullet"/>
      <w:lvlText w:val=""/>
      <w:lvlJc w:val="left"/>
      <w:pPr>
        <w:ind w:left="7275" w:hanging="360"/>
      </w:pPr>
      <w:rPr>
        <w:rFonts w:ascii="Symbol" w:hAnsi="Symbol" w:hint="default"/>
      </w:rPr>
    </w:lvl>
    <w:lvl w:ilvl="4" w:tplc="1C090003" w:tentative="1">
      <w:start w:val="1"/>
      <w:numFmt w:val="bullet"/>
      <w:lvlText w:val="o"/>
      <w:lvlJc w:val="left"/>
      <w:pPr>
        <w:ind w:left="7995" w:hanging="360"/>
      </w:pPr>
      <w:rPr>
        <w:rFonts w:ascii="Courier New" w:hAnsi="Courier New" w:cs="Courier New" w:hint="default"/>
      </w:rPr>
    </w:lvl>
    <w:lvl w:ilvl="5" w:tplc="1C090005" w:tentative="1">
      <w:start w:val="1"/>
      <w:numFmt w:val="bullet"/>
      <w:lvlText w:val=""/>
      <w:lvlJc w:val="left"/>
      <w:pPr>
        <w:ind w:left="8715" w:hanging="360"/>
      </w:pPr>
      <w:rPr>
        <w:rFonts w:ascii="Wingdings" w:hAnsi="Wingdings" w:hint="default"/>
      </w:rPr>
    </w:lvl>
    <w:lvl w:ilvl="6" w:tplc="1C090001" w:tentative="1">
      <w:start w:val="1"/>
      <w:numFmt w:val="bullet"/>
      <w:lvlText w:val=""/>
      <w:lvlJc w:val="left"/>
      <w:pPr>
        <w:ind w:left="9435" w:hanging="360"/>
      </w:pPr>
      <w:rPr>
        <w:rFonts w:ascii="Symbol" w:hAnsi="Symbol" w:hint="default"/>
      </w:rPr>
    </w:lvl>
    <w:lvl w:ilvl="7" w:tplc="1C090003" w:tentative="1">
      <w:start w:val="1"/>
      <w:numFmt w:val="bullet"/>
      <w:lvlText w:val="o"/>
      <w:lvlJc w:val="left"/>
      <w:pPr>
        <w:ind w:left="10155" w:hanging="360"/>
      </w:pPr>
      <w:rPr>
        <w:rFonts w:ascii="Courier New" w:hAnsi="Courier New" w:cs="Courier New" w:hint="default"/>
      </w:rPr>
    </w:lvl>
    <w:lvl w:ilvl="8" w:tplc="1C090005" w:tentative="1">
      <w:start w:val="1"/>
      <w:numFmt w:val="bullet"/>
      <w:lvlText w:val=""/>
      <w:lvlJc w:val="left"/>
      <w:pPr>
        <w:ind w:left="10875" w:hanging="360"/>
      </w:pPr>
      <w:rPr>
        <w:rFonts w:ascii="Wingdings" w:hAnsi="Wingdings" w:hint="default"/>
      </w:rPr>
    </w:lvl>
  </w:abstractNum>
  <w:abstractNum w:abstractNumId="12" w15:restartNumberingAfterBreak="0">
    <w:nsid w:val="55695DEA"/>
    <w:multiLevelType w:val="hybridMultilevel"/>
    <w:tmpl w:val="552E514E"/>
    <w:lvl w:ilvl="0" w:tplc="FE0EE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7158F"/>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C2523B"/>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E8F3C1B"/>
    <w:multiLevelType w:val="hybridMultilevel"/>
    <w:tmpl w:val="21EEF2DA"/>
    <w:lvl w:ilvl="0" w:tplc="34A27D40">
      <w:start w:val="1"/>
      <w:numFmt w:val="decimal"/>
      <w:lvlText w:val="%1."/>
      <w:lvlJc w:val="left"/>
      <w:pPr>
        <w:tabs>
          <w:tab w:val="num" w:pos="1080"/>
        </w:tabs>
        <w:ind w:left="1080" w:hanging="720"/>
      </w:pPr>
      <w:rPr>
        <w:rFonts w:hint="default"/>
      </w:rPr>
    </w:lvl>
    <w:lvl w:ilvl="1" w:tplc="92624582">
      <w:start w:val="1"/>
      <w:numFmt w:val="decimal"/>
      <w:lvlText w:val="%2."/>
      <w:lvlJc w:val="left"/>
      <w:pPr>
        <w:tabs>
          <w:tab w:val="num" w:pos="720"/>
        </w:tabs>
        <w:ind w:left="720" w:hanging="720"/>
      </w:pPr>
      <w:rPr>
        <w:rFonts w:ascii="Times New Roman" w:eastAsia="Times New Roman" w:hAnsi="Times New Roman" w:cs="Times New Roman"/>
      </w:rPr>
    </w:lvl>
    <w:lvl w:ilvl="2" w:tplc="367E01C2">
      <w:numFmt w:val="bullet"/>
      <w:lvlText w:val="-"/>
      <w:lvlJc w:val="left"/>
      <w:pPr>
        <w:ind w:left="2340" w:hanging="36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6D2EC3"/>
    <w:multiLevelType w:val="hybridMultilevel"/>
    <w:tmpl w:val="854AFC08"/>
    <w:lvl w:ilvl="0" w:tplc="663EE786">
      <w:start w:val="1"/>
      <w:numFmt w:val="decimal"/>
      <w:lvlText w:val="%1."/>
      <w:lvlJc w:val="left"/>
      <w:pPr>
        <w:ind w:left="644"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3194145">
    <w:abstractNumId w:val="15"/>
  </w:num>
  <w:num w:numId="2" w16cid:durableId="1307934290">
    <w:abstractNumId w:val="11"/>
  </w:num>
  <w:num w:numId="3" w16cid:durableId="894466220">
    <w:abstractNumId w:val="13"/>
  </w:num>
  <w:num w:numId="4" w16cid:durableId="795172646">
    <w:abstractNumId w:val="16"/>
  </w:num>
  <w:num w:numId="5" w16cid:durableId="1358576579">
    <w:abstractNumId w:val="14"/>
  </w:num>
  <w:num w:numId="6" w16cid:durableId="641926357">
    <w:abstractNumId w:val="10"/>
  </w:num>
  <w:num w:numId="7" w16cid:durableId="1314069187">
    <w:abstractNumId w:val="1"/>
  </w:num>
  <w:num w:numId="8" w16cid:durableId="1632322478">
    <w:abstractNumId w:val="6"/>
  </w:num>
  <w:num w:numId="9" w16cid:durableId="170293096">
    <w:abstractNumId w:val="0"/>
  </w:num>
  <w:num w:numId="10" w16cid:durableId="45493212">
    <w:abstractNumId w:val="2"/>
  </w:num>
  <w:num w:numId="11" w16cid:durableId="754664292">
    <w:abstractNumId w:val="9"/>
  </w:num>
  <w:num w:numId="12" w16cid:durableId="2068912025">
    <w:abstractNumId w:val="12"/>
  </w:num>
  <w:num w:numId="13" w16cid:durableId="1074208610">
    <w:abstractNumId w:val="5"/>
  </w:num>
  <w:num w:numId="14" w16cid:durableId="279069050">
    <w:abstractNumId w:val="8"/>
  </w:num>
  <w:num w:numId="15" w16cid:durableId="2130320552">
    <w:abstractNumId w:val="4"/>
  </w:num>
  <w:num w:numId="16" w16cid:durableId="506794989">
    <w:abstractNumId w:val="7"/>
  </w:num>
  <w:num w:numId="17" w16cid:durableId="1548756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AC"/>
    <w:rsid w:val="00020AF7"/>
    <w:rsid w:val="00022518"/>
    <w:rsid w:val="00033E25"/>
    <w:rsid w:val="000372D5"/>
    <w:rsid w:val="00054C8F"/>
    <w:rsid w:val="000662FF"/>
    <w:rsid w:val="00074AF9"/>
    <w:rsid w:val="00080CC7"/>
    <w:rsid w:val="000C65B2"/>
    <w:rsid w:val="000C79D8"/>
    <w:rsid w:val="000D0595"/>
    <w:rsid w:val="000D4D5D"/>
    <w:rsid w:val="000D64E4"/>
    <w:rsid w:val="000D64F6"/>
    <w:rsid w:val="000E0985"/>
    <w:rsid w:val="000E7725"/>
    <w:rsid w:val="001168BA"/>
    <w:rsid w:val="00124FB9"/>
    <w:rsid w:val="0015580D"/>
    <w:rsid w:val="00157F0A"/>
    <w:rsid w:val="00172A3C"/>
    <w:rsid w:val="00175A66"/>
    <w:rsid w:val="001831E2"/>
    <w:rsid w:val="0018362E"/>
    <w:rsid w:val="001934E9"/>
    <w:rsid w:val="00197FF9"/>
    <w:rsid w:val="001A2102"/>
    <w:rsid w:val="001A2C3A"/>
    <w:rsid w:val="001C0B24"/>
    <w:rsid w:val="001C5A2F"/>
    <w:rsid w:val="001C7C86"/>
    <w:rsid w:val="001D5312"/>
    <w:rsid w:val="001E095B"/>
    <w:rsid w:val="001F6BAD"/>
    <w:rsid w:val="001F71F3"/>
    <w:rsid w:val="002014F2"/>
    <w:rsid w:val="002131D2"/>
    <w:rsid w:val="00215947"/>
    <w:rsid w:val="002163F5"/>
    <w:rsid w:val="00220E0C"/>
    <w:rsid w:val="00223B1A"/>
    <w:rsid w:val="00224828"/>
    <w:rsid w:val="002307D6"/>
    <w:rsid w:val="002421DA"/>
    <w:rsid w:val="00245CC2"/>
    <w:rsid w:val="002613EF"/>
    <w:rsid w:val="00273A5D"/>
    <w:rsid w:val="00295020"/>
    <w:rsid w:val="002A2C97"/>
    <w:rsid w:val="002A6541"/>
    <w:rsid w:val="002A6D98"/>
    <w:rsid w:val="002A7381"/>
    <w:rsid w:val="002B3E10"/>
    <w:rsid w:val="002B7B53"/>
    <w:rsid w:val="002C5D0C"/>
    <w:rsid w:val="002D6209"/>
    <w:rsid w:val="002F6EB7"/>
    <w:rsid w:val="00303DBA"/>
    <w:rsid w:val="00306F01"/>
    <w:rsid w:val="003140B7"/>
    <w:rsid w:val="00346708"/>
    <w:rsid w:val="00350DEE"/>
    <w:rsid w:val="0035216A"/>
    <w:rsid w:val="00352D65"/>
    <w:rsid w:val="00356941"/>
    <w:rsid w:val="00360780"/>
    <w:rsid w:val="003910CD"/>
    <w:rsid w:val="003913B7"/>
    <w:rsid w:val="003A11F1"/>
    <w:rsid w:val="003A5AC5"/>
    <w:rsid w:val="003B08BE"/>
    <w:rsid w:val="003D20AE"/>
    <w:rsid w:val="003D2DA6"/>
    <w:rsid w:val="00401EC0"/>
    <w:rsid w:val="00413A90"/>
    <w:rsid w:val="00417D4A"/>
    <w:rsid w:val="00424449"/>
    <w:rsid w:val="00427611"/>
    <w:rsid w:val="00430395"/>
    <w:rsid w:val="00430A22"/>
    <w:rsid w:val="00467AEC"/>
    <w:rsid w:val="00474226"/>
    <w:rsid w:val="004B5DC2"/>
    <w:rsid w:val="004D07E9"/>
    <w:rsid w:val="00504739"/>
    <w:rsid w:val="00514C1F"/>
    <w:rsid w:val="0053719D"/>
    <w:rsid w:val="00545D3D"/>
    <w:rsid w:val="00546622"/>
    <w:rsid w:val="00560EC2"/>
    <w:rsid w:val="00560F1F"/>
    <w:rsid w:val="00573B48"/>
    <w:rsid w:val="005802BA"/>
    <w:rsid w:val="005A6E3E"/>
    <w:rsid w:val="005C3FA5"/>
    <w:rsid w:val="005D6CEE"/>
    <w:rsid w:val="00601356"/>
    <w:rsid w:val="00625ADC"/>
    <w:rsid w:val="00667DAB"/>
    <w:rsid w:val="006743C5"/>
    <w:rsid w:val="0068797F"/>
    <w:rsid w:val="00691412"/>
    <w:rsid w:val="00693FBD"/>
    <w:rsid w:val="006B4D6A"/>
    <w:rsid w:val="006C5235"/>
    <w:rsid w:val="006C7361"/>
    <w:rsid w:val="006D30D5"/>
    <w:rsid w:val="00715E85"/>
    <w:rsid w:val="007247DE"/>
    <w:rsid w:val="00760D5B"/>
    <w:rsid w:val="007619E0"/>
    <w:rsid w:val="007645EF"/>
    <w:rsid w:val="00776BAB"/>
    <w:rsid w:val="007A0F7E"/>
    <w:rsid w:val="007B1511"/>
    <w:rsid w:val="007B1EA6"/>
    <w:rsid w:val="007B5D1E"/>
    <w:rsid w:val="007C2003"/>
    <w:rsid w:val="007C20E0"/>
    <w:rsid w:val="007D7ABA"/>
    <w:rsid w:val="007E177B"/>
    <w:rsid w:val="007E4738"/>
    <w:rsid w:val="007F5D72"/>
    <w:rsid w:val="00800F2B"/>
    <w:rsid w:val="008138CA"/>
    <w:rsid w:val="00821074"/>
    <w:rsid w:val="00822319"/>
    <w:rsid w:val="00836960"/>
    <w:rsid w:val="00837D5D"/>
    <w:rsid w:val="008475DF"/>
    <w:rsid w:val="008479D2"/>
    <w:rsid w:val="00862553"/>
    <w:rsid w:val="00877B5C"/>
    <w:rsid w:val="008A5E7C"/>
    <w:rsid w:val="008A7FC0"/>
    <w:rsid w:val="008C4D8A"/>
    <w:rsid w:val="008C7854"/>
    <w:rsid w:val="008E063A"/>
    <w:rsid w:val="008E7F15"/>
    <w:rsid w:val="008F266E"/>
    <w:rsid w:val="008F3DD4"/>
    <w:rsid w:val="008F645A"/>
    <w:rsid w:val="00913A12"/>
    <w:rsid w:val="00914D65"/>
    <w:rsid w:val="00915282"/>
    <w:rsid w:val="00931EC9"/>
    <w:rsid w:val="00935438"/>
    <w:rsid w:val="0093552D"/>
    <w:rsid w:val="00942C73"/>
    <w:rsid w:val="00950762"/>
    <w:rsid w:val="00953DB1"/>
    <w:rsid w:val="00953EFE"/>
    <w:rsid w:val="0096737F"/>
    <w:rsid w:val="00971AE5"/>
    <w:rsid w:val="009850B4"/>
    <w:rsid w:val="009A3B60"/>
    <w:rsid w:val="009A75BE"/>
    <w:rsid w:val="009C60EF"/>
    <w:rsid w:val="009D2E67"/>
    <w:rsid w:val="009E154F"/>
    <w:rsid w:val="009E3D4B"/>
    <w:rsid w:val="00A0236C"/>
    <w:rsid w:val="00A07ABB"/>
    <w:rsid w:val="00A24036"/>
    <w:rsid w:val="00A56091"/>
    <w:rsid w:val="00A618DD"/>
    <w:rsid w:val="00A70B8A"/>
    <w:rsid w:val="00A72FFD"/>
    <w:rsid w:val="00A73023"/>
    <w:rsid w:val="00A8329B"/>
    <w:rsid w:val="00A86C40"/>
    <w:rsid w:val="00A87B10"/>
    <w:rsid w:val="00AA7675"/>
    <w:rsid w:val="00AB3541"/>
    <w:rsid w:val="00AB5402"/>
    <w:rsid w:val="00AC59E7"/>
    <w:rsid w:val="00AD25B1"/>
    <w:rsid w:val="00AD76AC"/>
    <w:rsid w:val="00AE4F49"/>
    <w:rsid w:val="00B14694"/>
    <w:rsid w:val="00B26AA7"/>
    <w:rsid w:val="00B30C62"/>
    <w:rsid w:val="00B43265"/>
    <w:rsid w:val="00B566B5"/>
    <w:rsid w:val="00B56948"/>
    <w:rsid w:val="00B628D9"/>
    <w:rsid w:val="00B65DAB"/>
    <w:rsid w:val="00B758E9"/>
    <w:rsid w:val="00B77D42"/>
    <w:rsid w:val="00B85C80"/>
    <w:rsid w:val="00B94713"/>
    <w:rsid w:val="00BB7C4C"/>
    <w:rsid w:val="00BC66B9"/>
    <w:rsid w:val="00BD7D37"/>
    <w:rsid w:val="00BF4978"/>
    <w:rsid w:val="00C02412"/>
    <w:rsid w:val="00C06786"/>
    <w:rsid w:val="00C253E9"/>
    <w:rsid w:val="00C34E30"/>
    <w:rsid w:val="00C4395B"/>
    <w:rsid w:val="00C5432E"/>
    <w:rsid w:val="00C601CF"/>
    <w:rsid w:val="00C6358B"/>
    <w:rsid w:val="00C70E9E"/>
    <w:rsid w:val="00C73EE4"/>
    <w:rsid w:val="00C73FC2"/>
    <w:rsid w:val="00C80FC6"/>
    <w:rsid w:val="00C82208"/>
    <w:rsid w:val="00C84800"/>
    <w:rsid w:val="00CB0E88"/>
    <w:rsid w:val="00CB2127"/>
    <w:rsid w:val="00CB2665"/>
    <w:rsid w:val="00CB7013"/>
    <w:rsid w:val="00CC00EA"/>
    <w:rsid w:val="00CF27C6"/>
    <w:rsid w:val="00CF4E62"/>
    <w:rsid w:val="00D06670"/>
    <w:rsid w:val="00D07790"/>
    <w:rsid w:val="00D12A28"/>
    <w:rsid w:val="00D13AE9"/>
    <w:rsid w:val="00D23FA3"/>
    <w:rsid w:val="00D26C1E"/>
    <w:rsid w:val="00D36074"/>
    <w:rsid w:val="00D369EF"/>
    <w:rsid w:val="00D508B8"/>
    <w:rsid w:val="00D54DB4"/>
    <w:rsid w:val="00D815CC"/>
    <w:rsid w:val="00D8300C"/>
    <w:rsid w:val="00D85A23"/>
    <w:rsid w:val="00D935A8"/>
    <w:rsid w:val="00D935BE"/>
    <w:rsid w:val="00D96132"/>
    <w:rsid w:val="00DB47A5"/>
    <w:rsid w:val="00DC7F30"/>
    <w:rsid w:val="00DD1523"/>
    <w:rsid w:val="00DD213E"/>
    <w:rsid w:val="00E103F5"/>
    <w:rsid w:val="00E11925"/>
    <w:rsid w:val="00E46B90"/>
    <w:rsid w:val="00E546E8"/>
    <w:rsid w:val="00E64A26"/>
    <w:rsid w:val="00E67803"/>
    <w:rsid w:val="00E7420A"/>
    <w:rsid w:val="00E753E2"/>
    <w:rsid w:val="00E7758D"/>
    <w:rsid w:val="00E874C5"/>
    <w:rsid w:val="00E91082"/>
    <w:rsid w:val="00E93517"/>
    <w:rsid w:val="00EA0BD1"/>
    <w:rsid w:val="00EA33F4"/>
    <w:rsid w:val="00EB371E"/>
    <w:rsid w:val="00EB6EB9"/>
    <w:rsid w:val="00EC4834"/>
    <w:rsid w:val="00EC6283"/>
    <w:rsid w:val="00EE549C"/>
    <w:rsid w:val="00EF0A04"/>
    <w:rsid w:val="00F04EB3"/>
    <w:rsid w:val="00F057F4"/>
    <w:rsid w:val="00F22CF4"/>
    <w:rsid w:val="00F24333"/>
    <w:rsid w:val="00F25739"/>
    <w:rsid w:val="00F35DBF"/>
    <w:rsid w:val="00F405CD"/>
    <w:rsid w:val="00F43238"/>
    <w:rsid w:val="00F54D5B"/>
    <w:rsid w:val="00F6272A"/>
    <w:rsid w:val="00F8257B"/>
    <w:rsid w:val="00F83296"/>
    <w:rsid w:val="00F878BE"/>
    <w:rsid w:val="00FA2DEE"/>
    <w:rsid w:val="00FA4A02"/>
    <w:rsid w:val="00FB4937"/>
    <w:rsid w:val="00FC06C7"/>
    <w:rsid w:val="00FC11BA"/>
    <w:rsid w:val="00FC6B4F"/>
    <w:rsid w:val="00FD08F3"/>
    <w:rsid w:val="00FD3E1C"/>
    <w:rsid w:val="00FD5BFD"/>
    <w:rsid w:val="00FE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B4D6"/>
  <w15:chartTrackingRefBased/>
  <w15:docId w15:val="{D8D49B22-5FAC-4BCB-820B-BB49BEA2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62"/>
    <w:rPr>
      <w:rFonts w:ascii="Segoe UI" w:hAnsi="Segoe UI" w:cs="Segoe UI"/>
      <w:sz w:val="18"/>
      <w:szCs w:val="18"/>
    </w:rPr>
  </w:style>
  <w:style w:type="paragraph" w:styleId="ListParagraph">
    <w:name w:val="List Paragraph"/>
    <w:basedOn w:val="Normal"/>
    <w:uiPriority w:val="34"/>
    <w:qFormat/>
    <w:rsid w:val="002B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17358">
      <w:bodyDiv w:val="1"/>
      <w:marLeft w:val="0"/>
      <w:marRight w:val="0"/>
      <w:marTop w:val="0"/>
      <w:marBottom w:val="0"/>
      <w:divBdr>
        <w:top w:val="none" w:sz="0" w:space="0" w:color="auto"/>
        <w:left w:val="none" w:sz="0" w:space="0" w:color="auto"/>
        <w:bottom w:val="none" w:sz="0" w:space="0" w:color="auto"/>
        <w:right w:val="none" w:sz="0" w:space="0" w:color="auto"/>
      </w:divBdr>
    </w:div>
    <w:div w:id="15077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 Maake</dc:creator>
  <cp:keywords/>
  <dc:description/>
  <cp:lastModifiedBy>Choene Maeta</cp:lastModifiedBy>
  <cp:revision>4</cp:revision>
  <cp:lastPrinted>2024-03-09T08:42:00Z</cp:lastPrinted>
  <dcterms:created xsi:type="dcterms:W3CDTF">2024-03-12T14:49:00Z</dcterms:created>
  <dcterms:modified xsi:type="dcterms:W3CDTF">2024-03-14T08:58:00Z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2022-05-19T09:54:42Z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7c56c3e5-44cd-4452-9420-59ea893d2876</vt:lpwstr>
  </property>
  <property fmtid="{D5CDD505-2E9C-101B-9397-08002B2CF9AE}" pid="8" name="MSIP_Label_616f4fcd-8401-41c8-bfac-a60235e9eb06_ContentBits">
    <vt:lpwstr>0</vt:lpwstr>
  </property>
  <property fmtid="{D5CDD505-2E9C-101B-9397-08002B2CF9AE}" pid="9" name="GrammarlyDocumentId">
    <vt:lpwstr>c107e7c7b85a1f24dbe5ac2c8028a3f8d02e5ab45f218b3038d27063f5a58dce</vt:lpwstr>
  </property>
</Properties>
</file>